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D82" w:rsidRDefault="00B05D82" w:rsidP="00B05D82">
      <w:pPr>
        <w:spacing w:after="0" w:line="240" w:lineRule="auto"/>
        <w:rPr>
          <w:rFonts w:ascii="Cambria" w:hAnsi="Cambria"/>
          <w:b/>
          <w:bCs/>
          <w:color w:val="5B9BD5" w:themeColor="accent1"/>
        </w:rPr>
      </w:pPr>
      <w:r>
        <w:rPr>
          <w:rFonts w:ascii="Cambria" w:hAnsi="Cambria"/>
          <w:b/>
          <w:bCs/>
          <w:color w:val="5B9BD5" w:themeColor="accent1"/>
        </w:rPr>
        <w:t xml:space="preserve">                                                             </w:t>
      </w:r>
      <w:r>
        <w:rPr>
          <w:noProof/>
          <w:lang w:eastAsia="en-IN"/>
        </w:rPr>
        <w:drawing>
          <wp:inline distT="0" distB="0" distL="0" distR="0" wp14:anchorId="795B1B58" wp14:editId="37350996">
            <wp:extent cx="1716259" cy="606972"/>
            <wp:effectExtent l="0" t="0" r="0" b="3175"/>
            <wp:docPr id="15" name="Picture 15" descr="D:\OneDrive - Geospatial Media and Communications\Desktop\GWCC Forms,Letterhead\sig-GWCC-Logo.jpg"/>
            <wp:cNvGraphicFramePr/>
            <a:graphic xmlns:a="http://schemas.openxmlformats.org/drawingml/2006/main">
              <a:graphicData uri="http://schemas.openxmlformats.org/drawingml/2006/picture">
                <pic:pic xmlns:pic="http://schemas.openxmlformats.org/drawingml/2006/picture">
                  <pic:nvPicPr>
                    <pic:cNvPr id="15" name="Picture 15" descr="D:\OneDrive - Geospatial Media and Communications\Desktop\GWCC Forms,Letterhead\sig-GWCC-Logo.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1588" cy="633613"/>
                    </a:xfrm>
                    <a:prstGeom prst="rect">
                      <a:avLst/>
                    </a:prstGeom>
                    <a:noFill/>
                    <a:ln>
                      <a:noFill/>
                    </a:ln>
                  </pic:spPr>
                </pic:pic>
              </a:graphicData>
            </a:graphic>
          </wp:inline>
        </w:drawing>
      </w:r>
      <w:r>
        <w:rPr>
          <w:rFonts w:ascii="Cambria" w:hAnsi="Cambria"/>
          <w:b/>
          <w:bCs/>
          <w:color w:val="5B9BD5" w:themeColor="accent1"/>
        </w:rPr>
        <w:t xml:space="preserve">       </w:t>
      </w:r>
      <w:r w:rsidRPr="00393968">
        <w:rPr>
          <w:rFonts w:ascii="Cambria" w:hAnsi="Cambria"/>
          <w:b/>
          <w:bCs/>
          <w:color w:val="5B9BD5" w:themeColor="accent1"/>
        </w:rPr>
        <w:t xml:space="preserve">       </w:t>
      </w:r>
      <w:r w:rsidRPr="007E4B98">
        <w:rPr>
          <w:rFonts w:ascii="Cambria" w:hAnsi="Cambria"/>
          <w:b/>
          <w:bCs/>
          <w:color w:val="5B9BD5" w:themeColor="accent1"/>
        </w:rPr>
        <w:t xml:space="preserve">      </w:t>
      </w:r>
      <w:r>
        <w:rPr>
          <w:rFonts w:ascii="Cambria" w:hAnsi="Cambria"/>
          <w:b/>
          <w:bCs/>
          <w:color w:val="5B9BD5" w:themeColor="accent1"/>
        </w:rPr>
        <w:t xml:space="preserve">                                                                                                                                                                                                                   </w:t>
      </w:r>
    </w:p>
    <w:p w:rsidR="00B05D82" w:rsidRPr="008C7524" w:rsidRDefault="00B05D82" w:rsidP="00B05D82">
      <w:pPr>
        <w:spacing w:after="0" w:line="240" w:lineRule="auto"/>
        <w:jc w:val="center"/>
        <w:rPr>
          <w:rFonts w:ascii="Cambria" w:hAnsi="Cambria"/>
          <w:b/>
          <w:bCs/>
          <w:color w:val="5B9BD5" w:themeColor="accent1"/>
          <w:sz w:val="28"/>
          <w:szCs w:val="28"/>
        </w:rPr>
      </w:pPr>
    </w:p>
    <w:p w:rsidR="00B05D82" w:rsidRDefault="00B05D82" w:rsidP="00B05D82">
      <w:pPr>
        <w:spacing w:after="0" w:line="240" w:lineRule="auto"/>
        <w:jc w:val="center"/>
        <w:rPr>
          <w:rFonts w:ascii="Cambria" w:hAnsi="Cambria"/>
          <w:b/>
          <w:bCs/>
          <w:color w:val="5B9BD5" w:themeColor="accent1"/>
          <w:sz w:val="28"/>
          <w:szCs w:val="28"/>
        </w:rPr>
      </w:pPr>
    </w:p>
    <w:p w:rsidR="00B05D82" w:rsidRPr="00D36F3B" w:rsidRDefault="00B05D82" w:rsidP="00B05D82">
      <w:pPr>
        <w:spacing w:after="0" w:line="240" w:lineRule="auto"/>
        <w:jc w:val="center"/>
        <w:rPr>
          <w:rFonts w:ascii="Cambria" w:hAnsi="Cambria"/>
          <w:b/>
          <w:bCs/>
          <w:color w:val="5B9BD5" w:themeColor="accent1"/>
          <w:sz w:val="28"/>
          <w:szCs w:val="28"/>
        </w:rPr>
      </w:pPr>
      <w:r w:rsidRPr="00D36F3B">
        <w:rPr>
          <w:rFonts w:ascii="Cambria" w:hAnsi="Cambria"/>
          <w:b/>
          <w:bCs/>
          <w:color w:val="5B9BD5" w:themeColor="accent1"/>
          <w:sz w:val="28"/>
          <w:szCs w:val="28"/>
        </w:rPr>
        <w:t>India Europe Space and Geospatial Business Summit at GWF 2026</w:t>
      </w:r>
    </w:p>
    <w:p w:rsidR="00B05D82" w:rsidRPr="00D36F3B" w:rsidRDefault="00B05D82" w:rsidP="00B05D82">
      <w:pPr>
        <w:spacing w:after="0" w:line="240" w:lineRule="auto"/>
        <w:jc w:val="center"/>
        <w:rPr>
          <w:rFonts w:ascii="Cambria" w:hAnsi="Cambria"/>
          <w:b/>
          <w:bCs/>
          <w:color w:val="5B9BD5" w:themeColor="accent1"/>
          <w:sz w:val="28"/>
          <w:szCs w:val="28"/>
        </w:rPr>
      </w:pPr>
      <w:r w:rsidRPr="00D36F3B">
        <w:rPr>
          <w:rFonts w:ascii="Cambria" w:hAnsi="Cambria"/>
          <w:b/>
          <w:bCs/>
          <w:color w:val="5B9BD5" w:themeColor="accent1"/>
          <w:sz w:val="28"/>
          <w:szCs w:val="28"/>
        </w:rPr>
        <w:t>RAI Congress Centre, Amsterdam | 27</w:t>
      </w:r>
      <w:r w:rsidRPr="00D36F3B">
        <w:rPr>
          <w:rFonts w:ascii="Cambria" w:hAnsi="Cambria"/>
          <w:b/>
          <w:bCs/>
          <w:color w:val="5B9BD5" w:themeColor="accent1"/>
          <w:sz w:val="28"/>
          <w:szCs w:val="28"/>
          <w:vertAlign w:val="superscript"/>
        </w:rPr>
        <w:t>th</w:t>
      </w:r>
      <w:r w:rsidRPr="00D36F3B">
        <w:rPr>
          <w:rFonts w:ascii="Cambria" w:hAnsi="Cambria"/>
          <w:b/>
          <w:bCs/>
          <w:color w:val="5B9BD5" w:themeColor="accent1"/>
          <w:sz w:val="28"/>
          <w:szCs w:val="28"/>
        </w:rPr>
        <w:t xml:space="preserve"> April 2026</w:t>
      </w:r>
    </w:p>
    <w:p w:rsidR="00B05D82" w:rsidRPr="00D36F3B" w:rsidRDefault="00B05D82" w:rsidP="00B05D82">
      <w:pPr>
        <w:spacing w:after="0" w:line="240" w:lineRule="auto"/>
        <w:jc w:val="center"/>
        <w:rPr>
          <w:rFonts w:ascii="Cambria" w:hAnsi="Cambria"/>
          <w:b/>
          <w:bCs/>
          <w:color w:val="5B9BD5" w:themeColor="accent1"/>
          <w:sz w:val="28"/>
          <w:szCs w:val="28"/>
        </w:rPr>
      </w:pPr>
    </w:p>
    <w:p w:rsidR="00B05D82" w:rsidRPr="00D36F3B" w:rsidRDefault="00B05D82" w:rsidP="00B05D82">
      <w:pPr>
        <w:spacing w:after="0" w:line="240" w:lineRule="auto"/>
        <w:jc w:val="center"/>
        <w:rPr>
          <w:rFonts w:ascii="Cambria" w:hAnsi="Cambria"/>
          <w:color w:val="98A7BD" w:themeColor="text2" w:themeTint="80"/>
        </w:rPr>
      </w:pPr>
    </w:p>
    <w:p w:rsidR="00B05D82" w:rsidRPr="00D36F3B" w:rsidRDefault="00B05D82" w:rsidP="00B05D82">
      <w:pPr>
        <w:spacing w:after="0" w:line="240" w:lineRule="auto"/>
        <w:rPr>
          <w:rFonts w:ascii="Cambria" w:hAnsi="Cambria"/>
          <w:b/>
          <w:bCs/>
          <w:color w:val="5B9BD5" w:themeColor="accent1"/>
        </w:rPr>
      </w:pPr>
      <w:r w:rsidRPr="00D36F3B">
        <w:rPr>
          <w:rFonts w:ascii="Cambria" w:hAnsi="Cambria"/>
          <w:b/>
          <w:bCs/>
          <w:color w:val="5B9BD5" w:themeColor="accent1"/>
        </w:rPr>
        <w:t>Introduction</w:t>
      </w:r>
    </w:p>
    <w:p w:rsidR="00B05D82" w:rsidRPr="00D36F3B" w:rsidRDefault="00B05D82" w:rsidP="00B05D82">
      <w:pPr>
        <w:spacing w:after="0" w:line="240" w:lineRule="auto"/>
        <w:rPr>
          <w:rFonts w:ascii="Cambria" w:hAnsi="Cambria"/>
          <w:b/>
          <w:bCs/>
          <w:color w:val="5B9BD5" w:themeColor="accent1"/>
        </w:rPr>
      </w:pPr>
      <w:r w:rsidRPr="00D36F3B">
        <w:rPr>
          <w:rFonts w:ascii="Cambria" w:hAnsi="Cambria"/>
        </w:rPr>
        <w:t>The 3</w:t>
      </w:r>
      <w:r w:rsidRPr="00D36F3B">
        <w:rPr>
          <w:rFonts w:ascii="Cambria" w:hAnsi="Cambria"/>
          <w:vertAlign w:val="superscript"/>
        </w:rPr>
        <w:t>rd</w:t>
      </w:r>
      <w:r w:rsidRPr="00D36F3B">
        <w:rPr>
          <w:rFonts w:ascii="Cambria" w:hAnsi="Cambria"/>
        </w:rPr>
        <w:t xml:space="preserve"> India-Europe Space and Geospatial Business Summit is being organized </w:t>
      </w:r>
      <w:r w:rsidRPr="00D36F3B">
        <w:rPr>
          <w:rFonts w:ascii="Cambria" w:hAnsi="Cambria"/>
          <w:b/>
          <w:bCs/>
        </w:rPr>
        <w:t>on 27</w:t>
      </w:r>
      <w:r w:rsidRPr="00D36F3B">
        <w:rPr>
          <w:rFonts w:ascii="Cambria" w:hAnsi="Cambria"/>
          <w:b/>
          <w:bCs/>
          <w:vertAlign w:val="superscript"/>
        </w:rPr>
        <w:t>th</w:t>
      </w:r>
      <w:r w:rsidRPr="00D36F3B">
        <w:rPr>
          <w:rFonts w:ascii="Cambria" w:hAnsi="Cambria"/>
          <w:b/>
          <w:bCs/>
        </w:rPr>
        <w:t xml:space="preserve"> April 2026 </w:t>
      </w:r>
      <w:r w:rsidRPr="00D36F3B">
        <w:rPr>
          <w:rFonts w:ascii="Cambria" w:hAnsi="Cambria"/>
        </w:rPr>
        <w:t xml:space="preserve">by </w:t>
      </w:r>
      <w:r w:rsidRPr="00D36F3B">
        <w:rPr>
          <w:rFonts w:ascii="Cambria" w:hAnsi="Cambria"/>
          <w:b/>
          <w:bCs/>
        </w:rPr>
        <w:t xml:space="preserve">Geospatial World Chamber of Commerce (GWCC) </w:t>
      </w:r>
      <w:r w:rsidRPr="00D36F3B">
        <w:rPr>
          <w:rFonts w:ascii="Cambria" w:hAnsi="Cambria"/>
          <w:bCs/>
        </w:rPr>
        <w:t xml:space="preserve">in association with </w:t>
      </w:r>
      <w:r w:rsidRPr="00D36F3B">
        <w:rPr>
          <w:rFonts w:ascii="Cambria" w:hAnsi="Cambria"/>
          <w:b/>
          <w:bCs/>
        </w:rPr>
        <w:t>Geospatial World (GW) at the Geospatial World Forum scheduled between 27 April – 1 May, 2026 at  R</w:t>
      </w:r>
      <w:r w:rsidRPr="00D36F3B">
        <w:rPr>
          <w:rFonts w:ascii="Cambria" w:hAnsi="Cambria"/>
          <w:b/>
          <w:bCs/>
          <w:color w:val="000000" w:themeColor="text1"/>
        </w:rPr>
        <w:t>AI Congress Centre, Amsterdam</w:t>
      </w:r>
      <w:r w:rsidRPr="00D36F3B">
        <w:rPr>
          <w:rFonts w:ascii="Cambria" w:hAnsi="Cambria"/>
          <w:b/>
          <w:bCs/>
        </w:rPr>
        <w:t>, The Netherlands.</w:t>
      </w:r>
    </w:p>
    <w:p w:rsidR="00B05D82" w:rsidRDefault="00B05D82" w:rsidP="00B05D82">
      <w:pPr>
        <w:spacing w:after="0" w:line="240" w:lineRule="auto"/>
        <w:rPr>
          <w:rFonts w:ascii="Cambria" w:hAnsi="Cambria"/>
        </w:rPr>
      </w:pPr>
      <w:r w:rsidRPr="00D36F3B">
        <w:rPr>
          <w:rFonts w:ascii="Cambria" w:hAnsi="Cambria"/>
        </w:rPr>
        <w:t>The Business Summit aims to facilitate strategic dialogue between India and Europe, with a focus on enhancing cooperation within the broader framework set by respective governments. The overarching goal is to foster an enabling environment conducive to ease of doing business in both regions. Such collaboration is anticipated to bolster the confidence of commercial entities, encouraging co-investment, and fostering sustainable, profitable partnerships over the long term.</w:t>
      </w:r>
    </w:p>
    <w:p w:rsidR="00B05D82" w:rsidRDefault="00B05D82" w:rsidP="00B05D82">
      <w:pPr>
        <w:spacing w:after="0" w:line="240" w:lineRule="auto"/>
        <w:rPr>
          <w:rFonts w:ascii="Cambria" w:hAnsi="Cambria"/>
        </w:rPr>
      </w:pPr>
    </w:p>
    <w:p w:rsidR="00B05D82" w:rsidRPr="00D36F3B" w:rsidRDefault="00B05D82" w:rsidP="00B05D82">
      <w:pPr>
        <w:spacing w:after="0" w:line="240" w:lineRule="auto"/>
        <w:rPr>
          <w:rFonts w:ascii="Cambria" w:hAnsi="Cambria"/>
        </w:rPr>
      </w:pPr>
    </w:p>
    <w:p w:rsidR="00B05D82" w:rsidRPr="00DC4F7D" w:rsidRDefault="00B05D82" w:rsidP="00B05D82">
      <w:pPr>
        <w:pStyle w:val="paragraph"/>
        <w:shd w:val="clear" w:color="auto" w:fill="FFFFFF"/>
        <w:spacing w:before="0" w:beforeAutospacing="0" w:after="0" w:afterAutospacing="0"/>
        <w:textAlignment w:val="baseline"/>
        <w:rPr>
          <w:rFonts w:ascii="Cambria" w:hAnsi="Cambria" w:cs="Segoe UI"/>
          <w:b/>
          <w:bCs/>
          <w:color w:val="5B9BD5" w:themeColor="accent1"/>
          <w:sz w:val="22"/>
          <w:szCs w:val="22"/>
        </w:rPr>
      </w:pPr>
      <w:r w:rsidRPr="00D36F3B">
        <w:rPr>
          <w:rStyle w:val="normaltextrun"/>
          <w:rFonts w:ascii="Cambria" w:hAnsi="Cambria" w:cs="Segoe UI"/>
          <w:b/>
          <w:bCs/>
          <w:color w:val="5B9BD5" w:themeColor="accent1"/>
          <w:sz w:val="22"/>
          <w:szCs w:val="22"/>
        </w:rPr>
        <w:t>Geospatial World Forum</w:t>
      </w:r>
      <w:r w:rsidRPr="00D36F3B">
        <w:rPr>
          <w:rStyle w:val="eop"/>
          <w:rFonts w:ascii="Cambria" w:hAnsi="Cambria" w:cs="Segoe UI"/>
          <w:color w:val="5B9BD5" w:themeColor="accent1"/>
          <w:sz w:val="22"/>
          <w:szCs w:val="22"/>
        </w:rPr>
        <w:t> </w:t>
      </w:r>
    </w:p>
    <w:p w:rsidR="00B05D82" w:rsidRDefault="00B05D82" w:rsidP="00B05D82">
      <w:pPr>
        <w:pStyle w:val="paragraph"/>
        <w:shd w:val="clear" w:color="auto" w:fill="FFFFFF"/>
        <w:spacing w:before="0" w:beforeAutospacing="0" w:after="0" w:afterAutospacing="0"/>
        <w:textAlignment w:val="baseline"/>
        <w:rPr>
          <w:rStyle w:val="normaltextrun"/>
          <w:rFonts w:ascii="Cambria" w:hAnsi="Cambria" w:cs="Segoe UI"/>
          <w:color w:val="262626"/>
          <w:sz w:val="22"/>
          <w:szCs w:val="22"/>
        </w:rPr>
      </w:pPr>
      <w:r w:rsidRPr="00D36F3B">
        <w:rPr>
          <w:rStyle w:val="normaltextrun"/>
          <w:rFonts w:ascii="Cambria" w:hAnsi="Cambria" w:cs="Segoe UI"/>
          <w:color w:val="262626"/>
          <w:sz w:val="22"/>
          <w:szCs w:val="22"/>
        </w:rPr>
        <w:t>Over the past sixteen years, the </w:t>
      </w:r>
      <w:r w:rsidRPr="00D36F3B">
        <w:rPr>
          <w:rStyle w:val="normaltextrun"/>
          <w:rFonts w:ascii="Cambria" w:hAnsi="Cambria" w:cs="Segoe UI"/>
          <w:bCs/>
          <w:color w:val="262626"/>
          <w:sz w:val="22"/>
          <w:szCs w:val="22"/>
        </w:rPr>
        <w:t>Geospatial World Forum</w:t>
      </w:r>
      <w:r w:rsidRPr="00D36F3B">
        <w:rPr>
          <w:rStyle w:val="normaltextrun"/>
          <w:rFonts w:ascii="Cambria" w:hAnsi="Cambria" w:cs="Segoe UI"/>
          <w:color w:val="262626"/>
          <w:sz w:val="22"/>
          <w:szCs w:val="22"/>
        </w:rPr>
        <w:t> has evolved into the world’s most influential convening of geospatial leadership, bringing together heads of governments, global policymakers, industry leaders, multilateral institutions, and domain experts shaping the future of digital public infrastructure</w:t>
      </w:r>
    </w:p>
    <w:p w:rsidR="00B05D82" w:rsidRPr="00D36F3B" w:rsidRDefault="00B05D82" w:rsidP="00B05D82">
      <w:pPr>
        <w:pStyle w:val="paragraph"/>
        <w:shd w:val="clear" w:color="auto" w:fill="FFFFFF"/>
        <w:spacing w:before="0" w:beforeAutospacing="0" w:after="0" w:afterAutospacing="0"/>
        <w:textAlignment w:val="baseline"/>
        <w:rPr>
          <w:rStyle w:val="normaltextrun"/>
          <w:rFonts w:ascii="Cambria" w:hAnsi="Cambria" w:cs="Segoe UI"/>
          <w:color w:val="262626"/>
          <w:sz w:val="22"/>
          <w:szCs w:val="22"/>
        </w:rPr>
      </w:pPr>
    </w:p>
    <w:p w:rsidR="00B05D82" w:rsidRPr="00D36F3B" w:rsidRDefault="00B05D82" w:rsidP="00B05D82">
      <w:pPr>
        <w:pStyle w:val="paragraph"/>
        <w:shd w:val="clear" w:color="auto" w:fill="FFFFFF"/>
        <w:spacing w:before="0" w:beforeAutospacing="0" w:after="0" w:afterAutospacing="0"/>
        <w:textAlignment w:val="baseline"/>
        <w:rPr>
          <w:rFonts w:ascii="Cambria" w:hAnsi="Cambria" w:cs="Segoe UI"/>
          <w:sz w:val="22"/>
          <w:szCs w:val="22"/>
        </w:rPr>
      </w:pPr>
    </w:p>
    <w:p w:rsidR="00B05D82" w:rsidRPr="00D36F3B" w:rsidRDefault="00B05D82" w:rsidP="00B05D82">
      <w:pPr>
        <w:spacing w:after="0" w:line="240" w:lineRule="auto"/>
        <w:rPr>
          <w:rFonts w:ascii="Cambria" w:hAnsi="Cambria"/>
          <w:color w:val="5B9BD5" w:themeColor="accent1"/>
        </w:rPr>
      </w:pPr>
      <w:r w:rsidRPr="00D36F3B">
        <w:rPr>
          <w:rFonts w:ascii="Cambria" w:hAnsi="Cambria"/>
          <w:b/>
          <w:bCs/>
          <w:color w:val="5B9BD5" w:themeColor="accent1"/>
        </w:rPr>
        <w:t>Background Context for India Europe Cooperation</w:t>
      </w:r>
    </w:p>
    <w:p w:rsidR="00B05D82" w:rsidRPr="00D36F3B" w:rsidRDefault="00B05D82" w:rsidP="00B05D82">
      <w:pPr>
        <w:spacing w:after="0" w:line="240" w:lineRule="auto"/>
        <w:outlineLvl w:val="2"/>
        <w:rPr>
          <w:rFonts w:ascii="Cambria" w:hAnsi="Cambria"/>
        </w:rPr>
      </w:pPr>
      <w:r w:rsidRPr="00D36F3B">
        <w:rPr>
          <w:rFonts w:ascii="Cambria" w:hAnsi="Cambria"/>
        </w:rPr>
        <w:t xml:space="preserve">In recent years, the India–Europe partnership has evolved into a multifaceted strategic engagement, encompassing trade, technology, sustainable development, and geopolitical cooperation. A key institutional framework in this relationship is the </w:t>
      </w:r>
      <w:r w:rsidRPr="00D36F3B">
        <w:rPr>
          <w:rStyle w:val="Strong"/>
          <w:rFonts w:ascii="Cambria" w:hAnsi="Cambria"/>
          <w:b w:val="0"/>
        </w:rPr>
        <w:t>India</w:t>
      </w:r>
      <w:r w:rsidRPr="00D36F3B">
        <w:rPr>
          <w:rStyle w:val="Strong"/>
          <w:rFonts w:ascii="Cambria" w:hAnsi="Cambria"/>
          <w:b w:val="0"/>
        </w:rPr>
        <w:noBreakHyphen/>
        <w:t>EU Trade and Technology Council (TTC)</w:t>
      </w:r>
      <w:r w:rsidRPr="00D36F3B">
        <w:rPr>
          <w:rFonts w:ascii="Cambria" w:hAnsi="Cambria"/>
          <w:b/>
        </w:rPr>
        <w:t>,</w:t>
      </w:r>
      <w:r w:rsidRPr="00D36F3B">
        <w:rPr>
          <w:rFonts w:ascii="Cambria" w:hAnsi="Cambria"/>
        </w:rPr>
        <w:t xml:space="preserve"> which has become a central platform for coordinating cooperation on advanced technologies and resilient supply chains. Discussions at TTC meetings have emphasised collaboration in sectors such as </w:t>
      </w:r>
      <w:r w:rsidRPr="00D36F3B">
        <w:rPr>
          <w:rStyle w:val="Strong"/>
          <w:rFonts w:ascii="Cambria" w:hAnsi="Cambria"/>
          <w:b w:val="0"/>
        </w:rPr>
        <w:t>semiconductors, high</w:t>
      </w:r>
      <w:r w:rsidRPr="00D36F3B">
        <w:rPr>
          <w:rStyle w:val="Strong"/>
          <w:rFonts w:ascii="Cambria" w:hAnsi="Cambria"/>
          <w:b w:val="0"/>
        </w:rPr>
        <w:noBreakHyphen/>
        <w:t>performance computing, digital public infrastructures, electric vehicle (EV) batteries and recycling, and clean energy technologies</w:t>
      </w:r>
      <w:r w:rsidRPr="00D36F3B">
        <w:rPr>
          <w:rFonts w:ascii="Cambria" w:hAnsi="Cambria"/>
        </w:rPr>
        <w:t xml:space="preserve">, reinforcing mutual interests in innovation, competitiveness, and economic security. Shared concerns around </w:t>
      </w:r>
      <w:r w:rsidRPr="00D36F3B">
        <w:rPr>
          <w:rStyle w:val="Strong"/>
          <w:rFonts w:ascii="Cambria" w:hAnsi="Cambria"/>
          <w:b w:val="0"/>
        </w:rPr>
        <w:t>supply</w:t>
      </w:r>
      <w:r w:rsidRPr="00D36F3B">
        <w:rPr>
          <w:rStyle w:val="Strong"/>
          <w:rFonts w:ascii="Cambria" w:hAnsi="Cambria"/>
          <w:b w:val="0"/>
        </w:rPr>
        <w:noBreakHyphen/>
        <w:t>chain resilience and foreign direct investment (FDI) screening</w:t>
      </w:r>
      <w:r w:rsidRPr="00D36F3B">
        <w:rPr>
          <w:rFonts w:ascii="Cambria" w:hAnsi="Cambria"/>
        </w:rPr>
        <w:t xml:space="preserve"> further underscore the growing depth of economic and technological cooperation between India and Europe. </w:t>
      </w:r>
    </w:p>
    <w:p w:rsidR="00B05D82" w:rsidRDefault="00B05D82" w:rsidP="00B05D82">
      <w:pPr>
        <w:spacing w:after="0" w:line="240" w:lineRule="auto"/>
        <w:outlineLvl w:val="2"/>
        <w:rPr>
          <w:rFonts w:ascii="Cambria" w:hAnsi="Cambria"/>
        </w:rPr>
      </w:pPr>
      <w:r w:rsidRPr="00D36F3B">
        <w:rPr>
          <w:rFonts w:ascii="Cambria" w:hAnsi="Cambria"/>
        </w:rPr>
        <w:t xml:space="preserve">Beyond technology and trade, the partnership is expanding into emerging areas such as </w:t>
      </w:r>
      <w:r w:rsidRPr="00D36F3B">
        <w:rPr>
          <w:rStyle w:val="Strong"/>
          <w:rFonts w:ascii="Cambria" w:hAnsi="Cambria"/>
          <w:b w:val="0"/>
        </w:rPr>
        <w:t>geospatial information systems and space technologies</w:t>
      </w:r>
      <w:r w:rsidRPr="00D36F3B">
        <w:rPr>
          <w:rFonts w:ascii="Cambria" w:hAnsi="Cambria"/>
        </w:rPr>
        <w:t>, where both sides have expressed interest in joint development and data</w:t>
      </w:r>
      <w:r w:rsidRPr="00D36F3B">
        <w:rPr>
          <w:rFonts w:ascii="Cambria" w:hAnsi="Cambria"/>
        </w:rPr>
        <w:noBreakHyphen/>
        <w:t>management efforts to support sustainable development goals. This reflects a broader strategic alignment that extends to climate action, digital governance, and regulatory cooperation.</w:t>
      </w:r>
    </w:p>
    <w:p w:rsidR="00B05D82" w:rsidRPr="00D36F3B" w:rsidRDefault="00B05D82" w:rsidP="00B05D82">
      <w:pPr>
        <w:spacing w:after="0" w:line="240" w:lineRule="auto"/>
        <w:outlineLvl w:val="2"/>
        <w:rPr>
          <w:rFonts w:ascii="Cambria" w:hAnsi="Cambria"/>
        </w:rPr>
      </w:pPr>
    </w:p>
    <w:p w:rsidR="00B05D82" w:rsidRPr="00D36F3B" w:rsidRDefault="00B05D82" w:rsidP="00B05D82">
      <w:pPr>
        <w:spacing w:after="0" w:line="240" w:lineRule="auto"/>
        <w:outlineLvl w:val="2"/>
        <w:rPr>
          <w:rFonts w:ascii="Cambria" w:hAnsi="Cambria"/>
        </w:rPr>
      </w:pPr>
    </w:p>
    <w:p w:rsidR="00B05D82" w:rsidRPr="00D36F3B" w:rsidRDefault="00B05D82" w:rsidP="00B05D82">
      <w:pPr>
        <w:spacing w:after="0" w:line="240" w:lineRule="auto"/>
        <w:outlineLvl w:val="2"/>
        <w:rPr>
          <w:rFonts w:ascii="Cambria" w:eastAsia="Times New Roman" w:hAnsi="Cambria" w:cs="Times New Roman"/>
          <w:b/>
          <w:bCs/>
          <w:color w:val="5B9BD5" w:themeColor="accent1"/>
          <w:lang w:eastAsia="en-IN"/>
        </w:rPr>
      </w:pPr>
      <w:r w:rsidRPr="00D36F3B">
        <w:rPr>
          <w:rFonts w:ascii="Cambria" w:eastAsia="Times New Roman" w:hAnsi="Cambria" w:cs="Times New Roman"/>
          <w:b/>
          <w:bCs/>
          <w:color w:val="5B9BD5" w:themeColor="accent1"/>
          <w:lang w:eastAsia="en-IN"/>
        </w:rPr>
        <w:t>Trade Relationship between India and Europe</w:t>
      </w:r>
    </w:p>
    <w:p w:rsidR="00B05D82" w:rsidRPr="00D36F3B" w:rsidRDefault="00B05D82" w:rsidP="00B05D82">
      <w:pPr>
        <w:pStyle w:val="NormalWeb"/>
        <w:spacing w:before="0" w:beforeAutospacing="0" w:after="0" w:afterAutospacing="0"/>
        <w:rPr>
          <w:rFonts w:ascii="Cambria" w:hAnsi="Cambria"/>
          <w:sz w:val="22"/>
          <w:szCs w:val="22"/>
        </w:rPr>
      </w:pPr>
      <w:r w:rsidRPr="00D36F3B">
        <w:rPr>
          <w:rFonts w:ascii="Cambria" w:hAnsi="Cambria"/>
          <w:sz w:val="22"/>
          <w:szCs w:val="22"/>
        </w:rPr>
        <w:t>The</w:t>
      </w:r>
      <w:r w:rsidRPr="00D36F3B">
        <w:rPr>
          <w:rFonts w:ascii="Cambria" w:hAnsi="Cambria"/>
          <w:b/>
          <w:sz w:val="22"/>
          <w:szCs w:val="22"/>
        </w:rPr>
        <w:t xml:space="preserve"> </w:t>
      </w:r>
      <w:r w:rsidRPr="00D36F3B">
        <w:rPr>
          <w:rStyle w:val="Strong"/>
          <w:rFonts w:ascii="Cambria" w:hAnsi="Cambria"/>
          <w:b w:val="0"/>
          <w:sz w:val="22"/>
          <w:szCs w:val="22"/>
        </w:rPr>
        <w:t>European Union (EU) remains one of India’s most significant trade and economic partners</w:t>
      </w:r>
      <w:r w:rsidRPr="00D36F3B">
        <w:rPr>
          <w:rFonts w:ascii="Cambria" w:hAnsi="Cambria"/>
          <w:b/>
          <w:sz w:val="22"/>
          <w:szCs w:val="22"/>
        </w:rPr>
        <w:t>,</w:t>
      </w:r>
      <w:r w:rsidRPr="00D36F3B">
        <w:rPr>
          <w:rFonts w:ascii="Cambria" w:hAnsi="Cambria"/>
          <w:sz w:val="22"/>
          <w:szCs w:val="22"/>
        </w:rPr>
        <w:t xml:space="preserve"> forming a central pillar of India’s external economic engagement. In the fiscal year </w:t>
      </w:r>
      <w:r w:rsidRPr="00D36F3B">
        <w:rPr>
          <w:rStyle w:val="Strong"/>
          <w:rFonts w:ascii="Cambria" w:hAnsi="Cambria"/>
          <w:b w:val="0"/>
          <w:sz w:val="22"/>
          <w:szCs w:val="22"/>
        </w:rPr>
        <w:t>2024–25, bilateral goods trade between India and the EU reached approximately USD 136.5 billion</w:t>
      </w:r>
      <w:r w:rsidRPr="00D36F3B">
        <w:rPr>
          <w:rFonts w:ascii="Cambria" w:hAnsi="Cambria"/>
          <w:sz w:val="22"/>
          <w:szCs w:val="22"/>
        </w:rPr>
        <w:t>, with</w:t>
      </w:r>
      <w:r>
        <w:rPr>
          <w:rFonts w:ascii="Cambria" w:hAnsi="Cambria"/>
          <w:sz w:val="22"/>
          <w:szCs w:val="22"/>
        </w:rPr>
        <w:t xml:space="preserve"> </w:t>
      </w:r>
      <w:r w:rsidRPr="00D36F3B">
        <w:rPr>
          <w:rFonts w:ascii="Cambria" w:hAnsi="Cambria"/>
          <w:sz w:val="22"/>
          <w:szCs w:val="22"/>
        </w:rPr>
        <w:lastRenderedPageBreak/>
        <w:t xml:space="preserve">Indian exports valued at about USD 75.9 billion and imports at USD 60.7 billion, making the EU India’s largest trading partner for goods. The trade relationship encompasses a broad range of sectors, including engineering goods, pharmaceuticals, chemicals, textiles, electronics, and services such as information technology and business services, underscoring deep commercial linkages that support jobs, technology flows, and market diversification for both economies. </w:t>
      </w:r>
    </w:p>
    <w:p w:rsidR="00B05D82" w:rsidRPr="00D36F3B" w:rsidRDefault="00B05D82" w:rsidP="00B05D82">
      <w:pPr>
        <w:pStyle w:val="NormalWeb"/>
        <w:spacing w:before="0" w:beforeAutospacing="0" w:after="0" w:afterAutospacing="0"/>
        <w:rPr>
          <w:rFonts w:ascii="Cambria" w:hAnsi="Cambria"/>
          <w:sz w:val="22"/>
          <w:szCs w:val="22"/>
        </w:rPr>
      </w:pPr>
      <w:r w:rsidRPr="00D36F3B">
        <w:rPr>
          <w:rFonts w:ascii="Cambria" w:hAnsi="Cambria"/>
          <w:sz w:val="22"/>
          <w:szCs w:val="22"/>
        </w:rPr>
        <w:t xml:space="preserve">A defining development in </w:t>
      </w:r>
      <w:r w:rsidRPr="00D36F3B">
        <w:rPr>
          <w:rStyle w:val="Strong"/>
          <w:rFonts w:ascii="Cambria" w:hAnsi="Cambria"/>
          <w:b w:val="0"/>
          <w:sz w:val="22"/>
          <w:szCs w:val="22"/>
        </w:rPr>
        <w:t>2026</w:t>
      </w:r>
      <w:r w:rsidRPr="00D36F3B">
        <w:rPr>
          <w:rFonts w:ascii="Cambria" w:hAnsi="Cambria"/>
          <w:sz w:val="22"/>
          <w:szCs w:val="22"/>
        </w:rPr>
        <w:t xml:space="preserve"> has been the conclusion of a </w:t>
      </w:r>
      <w:r w:rsidRPr="00D36F3B">
        <w:rPr>
          <w:rStyle w:val="Strong"/>
          <w:rFonts w:ascii="Cambria" w:hAnsi="Cambria"/>
          <w:b w:val="0"/>
          <w:sz w:val="22"/>
          <w:szCs w:val="22"/>
        </w:rPr>
        <w:t>landmark India–EU Free Trade Agreement (FTA)</w:t>
      </w:r>
      <w:r w:rsidRPr="00D36F3B">
        <w:rPr>
          <w:rFonts w:ascii="Cambria" w:hAnsi="Cambria"/>
          <w:b/>
          <w:sz w:val="22"/>
          <w:szCs w:val="22"/>
        </w:rPr>
        <w:t>,</w:t>
      </w:r>
      <w:r w:rsidRPr="00D36F3B">
        <w:rPr>
          <w:rFonts w:ascii="Cambria" w:hAnsi="Cambria"/>
          <w:sz w:val="22"/>
          <w:szCs w:val="22"/>
        </w:rPr>
        <w:t xml:space="preserve"> widely hailed as the </w:t>
      </w:r>
      <w:r w:rsidRPr="00D36F3B">
        <w:rPr>
          <w:rStyle w:val="Strong"/>
          <w:rFonts w:ascii="Cambria" w:hAnsi="Cambria"/>
          <w:b w:val="0"/>
          <w:sz w:val="22"/>
          <w:szCs w:val="22"/>
        </w:rPr>
        <w:t>“mother of all deals”</w:t>
      </w:r>
      <w:r w:rsidRPr="00D36F3B">
        <w:rPr>
          <w:rFonts w:ascii="Cambria" w:hAnsi="Cambria"/>
          <w:sz w:val="22"/>
          <w:szCs w:val="22"/>
        </w:rPr>
        <w:t xml:space="preserve"> by Indian and EU leaders due to its scale and strategic significance. After nearly two decades of negotiations, India and the EU reached agreement on 27 January 2026 to eliminate or substantially reduce tariffs on a majority of traded goods and expand market access for services and investment. This comprehensive pact—covering tariffs on approximately 96–99 % of trade by value and advancing cooperation in rules, standards, and regulatory alignment—is expected to create one of the world’s largest free trade frameworks, linking markets of nearly </w:t>
      </w:r>
      <w:r w:rsidRPr="00D36F3B">
        <w:rPr>
          <w:rStyle w:val="Strong"/>
          <w:rFonts w:ascii="Cambria" w:hAnsi="Cambria"/>
          <w:b w:val="0"/>
          <w:sz w:val="22"/>
          <w:szCs w:val="22"/>
        </w:rPr>
        <w:t>2 billion people and roughly 25 % of global GDP</w:t>
      </w:r>
      <w:r w:rsidRPr="00D36F3B">
        <w:rPr>
          <w:rFonts w:ascii="Cambria" w:hAnsi="Cambria"/>
          <w:b/>
          <w:sz w:val="22"/>
          <w:szCs w:val="22"/>
        </w:rPr>
        <w:t>.</w:t>
      </w:r>
      <w:r w:rsidRPr="00D36F3B">
        <w:rPr>
          <w:rFonts w:ascii="Cambria" w:hAnsi="Cambria"/>
          <w:sz w:val="22"/>
          <w:szCs w:val="22"/>
        </w:rPr>
        <w:t xml:space="preserve"> Leaders from both sides have underscored its potential to double EU exports to India by 2032 and significantly expand Indian exports of textiles, engineering products, pharmaceuticals, and other labour</w:t>
      </w:r>
      <w:r w:rsidRPr="00D36F3B">
        <w:rPr>
          <w:rFonts w:ascii="Cambria" w:hAnsi="Cambria"/>
          <w:sz w:val="22"/>
          <w:szCs w:val="22"/>
        </w:rPr>
        <w:noBreakHyphen/>
        <w:t xml:space="preserve">intensive sectors. </w:t>
      </w:r>
    </w:p>
    <w:p w:rsidR="00B05D82" w:rsidRDefault="00B05D82" w:rsidP="00B05D82">
      <w:pPr>
        <w:pStyle w:val="NormalWeb"/>
        <w:spacing w:before="0" w:beforeAutospacing="0" w:after="0" w:afterAutospacing="0"/>
        <w:rPr>
          <w:rFonts w:ascii="Cambria" w:hAnsi="Cambria"/>
          <w:sz w:val="22"/>
          <w:szCs w:val="22"/>
        </w:rPr>
      </w:pPr>
      <w:r w:rsidRPr="00D36F3B">
        <w:rPr>
          <w:rFonts w:ascii="Cambria" w:hAnsi="Cambria"/>
          <w:sz w:val="22"/>
          <w:szCs w:val="22"/>
        </w:rPr>
        <w:t xml:space="preserve">Despite this milestone, evolving regulatory and structural factors continue to influence the trade landscape. The </w:t>
      </w:r>
      <w:r w:rsidRPr="00D36F3B">
        <w:rPr>
          <w:rStyle w:val="Strong"/>
          <w:rFonts w:ascii="Cambria" w:hAnsi="Cambria"/>
          <w:b w:val="0"/>
          <w:sz w:val="22"/>
          <w:szCs w:val="22"/>
        </w:rPr>
        <w:t>EU’s suspension of GSP (Generalised Scheme of Preferences) benefits for India</w:t>
      </w:r>
      <w:r w:rsidRPr="00D36F3B">
        <w:rPr>
          <w:rFonts w:ascii="Cambria" w:hAnsi="Cambria"/>
          <w:sz w:val="22"/>
          <w:szCs w:val="22"/>
        </w:rPr>
        <w:t xml:space="preserve">, effective from 2026, alters certain tariff advantages previously enjoyed by Indian exporters, and the implementation of the </w:t>
      </w:r>
      <w:r w:rsidRPr="00D36F3B">
        <w:rPr>
          <w:rStyle w:val="Strong"/>
          <w:rFonts w:ascii="Cambria" w:hAnsi="Cambria"/>
          <w:b w:val="0"/>
          <w:sz w:val="22"/>
          <w:szCs w:val="22"/>
        </w:rPr>
        <w:t>Carbon Border Adjustment Mechanism (CBAM)</w:t>
      </w:r>
      <w:r w:rsidRPr="00D36F3B">
        <w:rPr>
          <w:rFonts w:ascii="Cambria" w:hAnsi="Cambria"/>
          <w:sz w:val="22"/>
          <w:szCs w:val="22"/>
        </w:rPr>
        <w:t xml:space="preserve"> presents compliance challenges for carbon</w:t>
      </w:r>
      <w:r w:rsidRPr="00D36F3B">
        <w:rPr>
          <w:rFonts w:ascii="Cambria" w:hAnsi="Cambria"/>
          <w:sz w:val="22"/>
          <w:szCs w:val="22"/>
        </w:rPr>
        <w:noBreakHyphen/>
        <w:t xml:space="preserve">intensive sectors. Nevertheless, industry bodies and analysts anticipate that the new FTA, once ratified and implemented (expected by early 2027), will significantly enhance bilateral trade volumes, attract stronger investment flows, and deepen integration into global value chains, positioning India and Europe as key complementary partners in a rapidly changing global economy. </w:t>
      </w:r>
    </w:p>
    <w:p w:rsidR="00B05D82" w:rsidRDefault="00B05D82" w:rsidP="00B05D82">
      <w:pPr>
        <w:pStyle w:val="NormalWeb"/>
        <w:spacing w:before="0" w:beforeAutospacing="0" w:after="0" w:afterAutospacing="0"/>
        <w:rPr>
          <w:rFonts w:ascii="Cambria" w:hAnsi="Cambria"/>
          <w:sz w:val="22"/>
          <w:szCs w:val="22"/>
        </w:rPr>
      </w:pPr>
    </w:p>
    <w:p w:rsidR="00B05D82" w:rsidRPr="00D36F3B" w:rsidRDefault="00B05D82" w:rsidP="00B05D82">
      <w:pPr>
        <w:pStyle w:val="NormalWeb"/>
        <w:spacing w:before="0" w:beforeAutospacing="0" w:after="0" w:afterAutospacing="0"/>
        <w:rPr>
          <w:rFonts w:ascii="Cambria" w:hAnsi="Cambria"/>
          <w:sz w:val="22"/>
          <w:szCs w:val="22"/>
        </w:rPr>
      </w:pPr>
    </w:p>
    <w:p w:rsidR="00B05D82" w:rsidRPr="00D36F3B" w:rsidRDefault="00B05D82" w:rsidP="00B05D82">
      <w:pPr>
        <w:pStyle w:val="Heading3"/>
        <w:spacing w:before="0" w:beforeAutospacing="0" w:after="0" w:afterAutospacing="0"/>
        <w:rPr>
          <w:rFonts w:ascii="Cambria" w:hAnsi="Cambria"/>
          <w:sz w:val="22"/>
          <w:szCs w:val="22"/>
        </w:rPr>
      </w:pPr>
      <w:r w:rsidRPr="00D36F3B">
        <w:rPr>
          <w:rStyle w:val="Strong"/>
          <w:rFonts w:ascii="Cambria" w:hAnsi="Cambria"/>
          <w:b/>
          <w:bCs/>
          <w:color w:val="5B9BD5" w:themeColor="accent1"/>
          <w:sz w:val="22"/>
          <w:szCs w:val="22"/>
        </w:rPr>
        <w:t>European Geospatial and Space Market: Building a Resilient Tomorrow</w:t>
      </w:r>
    </w:p>
    <w:p w:rsidR="00B05D82" w:rsidRPr="00D36F3B" w:rsidRDefault="00B05D82" w:rsidP="00B05D82">
      <w:pPr>
        <w:pStyle w:val="NormalWeb"/>
        <w:spacing w:before="0" w:beforeAutospacing="0" w:after="0" w:afterAutospacing="0"/>
        <w:rPr>
          <w:rFonts w:ascii="Cambria" w:hAnsi="Cambria"/>
          <w:sz w:val="22"/>
          <w:szCs w:val="22"/>
        </w:rPr>
      </w:pPr>
      <w:r w:rsidRPr="00D36F3B">
        <w:rPr>
          <w:rFonts w:ascii="Cambria" w:hAnsi="Cambria"/>
          <w:sz w:val="22"/>
          <w:szCs w:val="22"/>
        </w:rPr>
        <w:t xml:space="preserve">The ongoing democratization of location and Earth-observation data continues to drive transformative change across industries, positioning the global geospatial market as a core pillar of the digital economy. Valued at over </w:t>
      </w:r>
      <w:r w:rsidRPr="00D36F3B">
        <w:rPr>
          <w:rStyle w:val="Strong"/>
          <w:rFonts w:ascii="Cambria" w:hAnsi="Cambria"/>
          <w:b w:val="0"/>
          <w:sz w:val="22"/>
          <w:szCs w:val="22"/>
        </w:rPr>
        <w:t>USD 500 billion</w:t>
      </w:r>
      <w:r w:rsidRPr="00D36F3B">
        <w:rPr>
          <w:rFonts w:ascii="Cambria" w:hAnsi="Cambria"/>
          <w:sz w:val="22"/>
          <w:szCs w:val="22"/>
        </w:rPr>
        <w:t xml:space="preserve">, the geospatial sector underpins a multi-trillion-dollar socio-economic impact through its applications in infrastructure, climate monitoring, security, governance, and commercial services. Within this rapidly evolving landscape, </w:t>
      </w:r>
      <w:r w:rsidRPr="00D36F3B">
        <w:rPr>
          <w:rStyle w:val="Strong"/>
          <w:rFonts w:ascii="Cambria" w:hAnsi="Cambria"/>
          <w:b w:val="0"/>
          <w:sz w:val="22"/>
          <w:szCs w:val="22"/>
        </w:rPr>
        <w:t>Europe has emerged as a key global leader</w:t>
      </w:r>
      <w:r w:rsidRPr="00D36F3B">
        <w:rPr>
          <w:rFonts w:ascii="Cambria" w:hAnsi="Cambria"/>
          <w:sz w:val="22"/>
          <w:szCs w:val="22"/>
        </w:rPr>
        <w:t>, supported by strong institutional frameworks, sustained public investment, and advanced space-based capabilities.</w:t>
      </w:r>
    </w:p>
    <w:p w:rsidR="00B05D82" w:rsidRPr="00D36F3B" w:rsidRDefault="00B05D82" w:rsidP="00B05D82">
      <w:pPr>
        <w:pStyle w:val="NormalWeb"/>
        <w:spacing w:before="0" w:beforeAutospacing="0" w:after="0" w:afterAutospacing="0"/>
        <w:rPr>
          <w:rFonts w:ascii="Cambria" w:hAnsi="Cambria"/>
          <w:sz w:val="22"/>
          <w:szCs w:val="22"/>
        </w:rPr>
      </w:pPr>
      <w:r w:rsidRPr="00D36F3B">
        <w:rPr>
          <w:rFonts w:ascii="Cambria" w:hAnsi="Cambria"/>
          <w:sz w:val="22"/>
          <w:szCs w:val="22"/>
        </w:rPr>
        <w:t xml:space="preserve">Europe’s geospatial growth is anchored in the </w:t>
      </w:r>
      <w:r w:rsidRPr="00D36F3B">
        <w:rPr>
          <w:rStyle w:val="Strong"/>
          <w:rFonts w:ascii="Cambria" w:hAnsi="Cambria"/>
          <w:b w:val="0"/>
          <w:sz w:val="22"/>
          <w:szCs w:val="22"/>
        </w:rPr>
        <w:t>EU Space Programme (2021–2027)</w:t>
      </w:r>
      <w:r w:rsidRPr="00D36F3B">
        <w:rPr>
          <w:rFonts w:ascii="Cambria" w:hAnsi="Cambria"/>
          <w:b/>
          <w:sz w:val="22"/>
          <w:szCs w:val="22"/>
        </w:rPr>
        <w:t>,</w:t>
      </w:r>
      <w:r w:rsidRPr="00D36F3B">
        <w:rPr>
          <w:rFonts w:ascii="Cambria" w:hAnsi="Cambria"/>
          <w:sz w:val="22"/>
          <w:szCs w:val="22"/>
        </w:rPr>
        <w:t xml:space="preserve"> which integrates flagship systems such as</w:t>
      </w:r>
      <w:r w:rsidRPr="00D36F3B">
        <w:rPr>
          <w:rFonts w:ascii="Cambria" w:hAnsi="Cambria"/>
          <w:b/>
          <w:sz w:val="22"/>
          <w:szCs w:val="22"/>
        </w:rPr>
        <w:t xml:space="preserve"> </w:t>
      </w:r>
      <w:r w:rsidRPr="00D36F3B">
        <w:rPr>
          <w:rStyle w:val="Strong"/>
          <w:rFonts w:ascii="Cambria" w:hAnsi="Cambria"/>
          <w:b w:val="0"/>
          <w:sz w:val="22"/>
          <w:szCs w:val="22"/>
        </w:rPr>
        <w:t>Copernicus, Galileo, EGNOS, and GOVSATCOM</w:t>
      </w:r>
      <w:r w:rsidRPr="00D36F3B">
        <w:rPr>
          <w:rFonts w:ascii="Cambria" w:hAnsi="Cambria"/>
          <w:sz w:val="22"/>
          <w:szCs w:val="22"/>
        </w:rPr>
        <w:t xml:space="preserve">. Copernicus remains the world’s largest provider of free and open Earth-observation data, supporting climate action, disaster management, agriculture, urban planning, and environmental regulation. In parallel, the EU has advanced its strategic autonomy through initiatives such as </w:t>
      </w:r>
      <w:r w:rsidRPr="00D36F3B">
        <w:rPr>
          <w:rStyle w:val="Strong"/>
          <w:rFonts w:ascii="Cambria" w:hAnsi="Cambria"/>
          <w:b w:val="0"/>
          <w:sz w:val="22"/>
          <w:szCs w:val="22"/>
        </w:rPr>
        <w:t>IRIS², a secure satellite connectivity programme that deploys a constellation of satellites to provide encrypted broadband and communications services for governments and businesses across Europe</w:t>
      </w:r>
      <w:r w:rsidRPr="00D36F3B">
        <w:rPr>
          <w:rFonts w:ascii="Cambria" w:hAnsi="Cambria"/>
          <w:sz w:val="22"/>
          <w:szCs w:val="22"/>
        </w:rPr>
        <w:t>, strengthening digital resilience and secure communications. These initiatives reflect Europe’s shift from data generation to the large-scale operational use of geospatial intelligence.</w:t>
      </w:r>
    </w:p>
    <w:p w:rsidR="00B05D82" w:rsidRDefault="00B05D82" w:rsidP="00B05D82">
      <w:pPr>
        <w:pStyle w:val="NormalWeb"/>
        <w:spacing w:before="0" w:beforeAutospacing="0" w:after="0" w:afterAutospacing="0"/>
        <w:rPr>
          <w:rFonts w:ascii="Cambria" w:hAnsi="Cambria"/>
          <w:sz w:val="22"/>
          <w:szCs w:val="22"/>
        </w:rPr>
      </w:pPr>
      <w:r w:rsidRPr="00D36F3B">
        <w:rPr>
          <w:rFonts w:ascii="Cambria" w:hAnsi="Cambria"/>
          <w:sz w:val="22"/>
          <w:szCs w:val="22"/>
        </w:rPr>
        <w:t xml:space="preserve">The European geospatial and space market continues to expand through its integration across critical sectors including </w:t>
      </w:r>
      <w:r w:rsidRPr="00D36F3B">
        <w:rPr>
          <w:rStyle w:val="Strong"/>
          <w:rFonts w:ascii="Cambria" w:hAnsi="Cambria"/>
          <w:b w:val="0"/>
          <w:sz w:val="22"/>
          <w:szCs w:val="22"/>
        </w:rPr>
        <w:t>energy transition, defence and security, telecommunications, transport infrastructure, climate resilience, environmental management, and smart cities</w:t>
      </w:r>
      <w:r w:rsidRPr="00D36F3B">
        <w:rPr>
          <w:rFonts w:ascii="Cambria" w:hAnsi="Cambria"/>
          <w:b/>
          <w:sz w:val="22"/>
          <w:szCs w:val="22"/>
        </w:rPr>
        <w:t>.</w:t>
      </w:r>
      <w:r w:rsidRPr="00D36F3B">
        <w:rPr>
          <w:rFonts w:ascii="Cambria" w:hAnsi="Cambria"/>
          <w:sz w:val="22"/>
          <w:szCs w:val="22"/>
        </w:rPr>
        <w:t xml:space="preserve"> Policy frameworks such as the </w:t>
      </w:r>
      <w:r w:rsidRPr="00D36F3B">
        <w:rPr>
          <w:rStyle w:val="Strong"/>
          <w:rFonts w:ascii="Cambria" w:hAnsi="Cambria"/>
          <w:b w:val="0"/>
          <w:sz w:val="22"/>
          <w:szCs w:val="22"/>
        </w:rPr>
        <w:t>European Green Deal</w:t>
      </w:r>
      <w:r w:rsidRPr="00D36F3B">
        <w:rPr>
          <w:rFonts w:ascii="Cambria" w:hAnsi="Cambria"/>
          <w:b/>
          <w:sz w:val="22"/>
          <w:szCs w:val="22"/>
        </w:rPr>
        <w:t>,</w:t>
      </w:r>
      <w:r w:rsidRPr="00D36F3B">
        <w:rPr>
          <w:rFonts w:ascii="Cambria" w:hAnsi="Cambria"/>
          <w:sz w:val="22"/>
          <w:szCs w:val="22"/>
        </w:rPr>
        <w:t xml:space="preserve"> the </w:t>
      </w:r>
      <w:r w:rsidRPr="00D36F3B">
        <w:rPr>
          <w:rStyle w:val="Strong"/>
          <w:rFonts w:ascii="Cambria" w:hAnsi="Cambria"/>
          <w:b w:val="0"/>
          <w:sz w:val="22"/>
          <w:szCs w:val="22"/>
        </w:rPr>
        <w:t>Digital Europe Programme</w:t>
      </w:r>
      <w:r w:rsidRPr="00D36F3B">
        <w:rPr>
          <w:rFonts w:ascii="Cambria" w:hAnsi="Cambria"/>
          <w:sz w:val="22"/>
          <w:szCs w:val="22"/>
        </w:rPr>
        <w:t xml:space="preserve">, and </w:t>
      </w:r>
      <w:r w:rsidRPr="00D36F3B">
        <w:rPr>
          <w:rStyle w:val="Strong"/>
          <w:rFonts w:ascii="Cambria" w:hAnsi="Cambria"/>
          <w:b w:val="0"/>
          <w:sz w:val="22"/>
          <w:szCs w:val="22"/>
        </w:rPr>
        <w:t>Global Gateway</w:t>
      </w:r>
      <w:r w:rsidRPr="00D36F3B">
        <w:rPr>
          <w:rFonts w:ascii="Cambria" w:hAnsi="Cambria"/>
          <w:sz w:val="22"/>
          <w:szCs w:val="22"/>
        </w:rPr>
        <w:t xml:space="preserve"> have further accelerated demand for geospatial analytics to support sustainability, connectivity, and infrastructure development. By 2026, Europe’s geospatial and space ecosystem is increasingly defined by its role in enhancing </w:t>
      </w:r>
      <w:r w:rsidRPr="00D36F3B">
        <w:rPr>
          <w:rStyle w:val="Strong"/>
          <w:rFonts w:ascii="Cambria" w:hAnsi="Cambria"/>
          <w:b w:val="0"/>
          <w:sz w:val="22"/>
          <w:szCs w:val="22"/>
        </w:rPr>
        <w:t>economic resilience, technological sovereignty, and climate governance</w:t>
      </w:r>
      <w:r w:rsidRPr="00D36F3B">
        <w:rPr>
          <w:rFonts w:ascii="Cambria" w:hAnsi="Cambria"/>
          <w:sz w:val="22"/>
          <w:szCs w:val="22"/>
        </w:rPr>
        <w:t>, reinforcing its position as a central contributor t</w:t>
      </w:r>
      <w:r>
        <w:rPr>
          <w:rFonts w:ascii="Cambria" w:hAnsi="Cambria"/>
          <w:sz w:val="22"/>
          <w:szCs w:val="22"/>
        </w:rPr>
        <w:t>o the global geospatial economy</w:t>
      </w:r>
    </w:p>
    <w:p w:rsidR="00B05D82" w:rsidRPr="00F61013" w:rsidRDefault="00B05D82" w:rsidP="00B05D82">
      <w:pPr>
        <w:pStyle w:val="NormalWeb"/>
        <w:spacing w:before="0" w:beforeAutospacing="0" w:after="0" w:afterAutospacing="0"/>
        <w:rPr>
          <w:rFonts w:ascii="Cambria" w:hAnsi="Cambria"/>
          <w:sz w:val="22"/>
          <w:szCs w:val="22"/>
        </w:rPr>
      </w:pPr>
      <w:r w:rsidRPr="00D36F3B">
        <w:rPr>
          <w:rFonts w:ascii="Cambria" w:hAnsi="Cambria"/>
          <w:b/>
          <w:bCs/>
          <w:color w:val="5B9BD5" w:themeColor="accent1"/>
          <w:sz w:val="22"/>
          <w:szCs w:val="22"/>
        </w:rPr>
        <w:lastRenderedPageBreak/>
        <w:t>Indian Geospatial and Space Market Scenario</w:t>
      </w:r>
    </w:p>
    <w:p w:rsidR="00B05D82" w:rsidRPr="00DC4F7D" w:rsidRDefault="00B05D82" w:rsidP="00B05D82">
      <w:pPr>
        <w:spacing w:after="0" w:line="240" w:lineRule="auto"/>
        <w:rPr>
          <w:rFonts w:ascii="Cambria" w:hAnsi="Cambria"/>
          <w:b/>
          <w:bCs/>
          <w:color w:val="5B9BD5" w:themeColor="accent1"/>
        </w:rPr>
      </w:pPr>
      <w:r w:rsidRPr="00D36F3B">
        <w:rPr>
          <w:rFonts w:ascii="Cambria" w:hAnsi="Cambria"/>
        </w:rPr>
        <w:t xml:space="preserve">India’s geospatial economy has continued its rapid expansion and is broadly estimated to be worth around </w:t>
      </w:r>
      <w:r w:rsidRPr="00D36F3B">
        <w:rPr>
          <w:rStyle w:val="Strong"/>
          <w:rFonts w:ascii="Cambria" w:hAnsi="Cambria"/>
          <w:b w:val="0"/>
        </w:rPr>
        <w:t>₹50,000 crore</w:t>
      </w:r>
      <w:r w:rsidRPr="00D36F3B">
        <w:rPr>
          <w:rFonts w:ascii="Cambria" w:hAnsi="Cambria"/>
        </w:rPr>
        <w:t xml:space="preserve"> (roughly </w:t>
      </w:r>
      <w:r w:rsidRPr="00D36F3B">
        <w:rPr>
          <w:rStyle w:val="Strong"/>
          <w:rFonts w:ascii="Cambria" w:hAnsi="Cambria"/>
          <w:b w:val="0"/>
        </w:rPr>
        <w:t>USD 6–7 billion</w:t>
      </w:r>
      <w:r w:rsidRPr="00D36F3B">
        <w:rPr>
          <w:rFonts w:ascii="Cambria" w:hAnsi="Cambria"/>
        </w:rPr>
        <w:t>) as of 2025–26, with strong growth driven by both domestic demand and rising export services in analytics, mapping, and location</w:t>
      </w:r>
      <w:r w:rsidRPr="00D36F3B">
        <w:rPr>
          <w:rFonts w:ascii="Cambria" w:hAnsi="Cambria"/>
        </w:rPr>
        <w:noBreakHyphen/>
        <w:t xml:space="preserve">based technology solutions. Policy reforms such as the </w:t>
      </w:r>
      <w:r w:rsidRPr="00D36F3B">
        <w:rPr>
          <w:rStyle w:val="Strong"/>
          <w:rFonts w:ascii="Cambria" w:hAnsi="Cambria"/>
          <w:b w:val="0"/>
        </w:rPr>
        <w:t>Guidelines for Geospatial Data 2021</w:t>
      </w:r>
      <w:r w:rsidRPr="00D36F3B">
        <w:rPr>
          <w:rFonts w:ascii="Cambria" w:hAnsi="Cambria"/>
        </w:rPr>
        <w:t xml:space="preserve"> and the </w:t>
      </w:r>
      <w:r w:rsidRPr="00D36F3B">
        <w:rPr>
          <w:rStyle w:val="Strong"/>
          <w:rFonts w:ascii="Cambria" w:hAnsi="Cambria"/>
          <w:b w:val="0"/>
        </w:rPr>
        <w:t>National Geospatial Policy 2022</w:t>
      </w:r>
      <w:r w:rsidRPr="00D36F3B">
        <w:rPr>
          <w:rFonts w:ascii="Cambria" w:hAnsi="Cambria"/>
          <w:b/>
        </w:rPr>
        <w:t xml:space="preserve"> </w:t>
      </w:r>
      <w:r w:rsidRPr="00D36F3B">
        <w:rPr>
          <w:rFonts w:ascii="Cambria" w:hAnsi="Cambria"/>
        </w:rPr>
        <w:t xml:space="preserve">have significantly liberalised data access and private participation, and are being adopted across sectors including infrastructure, agriculture, disaster management and smart cities. These reforms, together with the integration of spatial data into flagship programs like </w:t>
      </w:r>
      <w:r w:rsidRPr="00D36F3B">
        <w:rPr>
          <w:rStyle w:val="Strong"/>
          <w:rFonts w:ascii="Cambria" w:hAnsi="Cambria"/>
          <w:b w:val="0"/>
        </w:rPr>
        <w:t xml:space="preserve">PM </w:t>
      </w:r>
      <w:proofErr w:type="spellStart"/>
      <w:r w:rsidRPr="00D36F3B">
        <w:rPr>
          <w:rStyle w:val="Strong"/>
          <w:rFonts w:ascii="Cambria" w:hAnsi="Cambria"/>
          <w:b w:val="0"/>
        </w:rPr>
        <w:t>Gati</w:t>
      </w:r>
      <w:proofErr w:type="spellEnd"/>
      <w:r w:rsidRPr="00D36F3B">
        <w:rPr>
          <w:rStyle w:val="Strong"/>
          <w:rFonts w:ascii="Cambria" w:hAnsi="Cambria"/>
          <w:b w:val="0"/>
        </w:rPr>
        <w:t xml:space="preserve"> Shakti, SVAMITVA</w:t>
      </w:r>
      <w:r w:rsidRPr="00D36F3B">
        <w:rPr>
          <w:rFonts w:ascii="Cambria" w:hAnsi="Cambria"/>
        </w:rPr>
        <w:t xml:space="preserve"> and state digital initiatives, are strengthening India’s foundational geospatial ecosystem and fostering innovation in Digital Twin, BIM, drone services and satellite</w:t>
      </w:r>
      <w:r w:rsidRPr="00D36F3B">
        <w:rPr>
          <w:rFonts w:ascii="Cambria" w:hAnsi="Cambria"/>
        </w:rPr>
        <w:noBreakHyphen/>
        <w:t xml:space="preserve">enabled analytics. Current market data show the geospatial analytics segment alone was valued at </w:t>
      </w:r>
      <w:r w:rsidRPr="00D36F3B">
        <w:rPr>
          <w:rStyle w:val="Strong"/>
          <w:rFonts w:ascii="Cambria" w:hAnsi="Cambria"/>
          <w:b w:val="0"/>
        </w:rPr>
        <w:t>USD 1.58 billion in</w:t>
      </w:r>
      <w:r w:rsidRPr="00D36F3B">
        <w:rPr>
          <w:rStyle w:val="Strong"/>
          <w:rFonts w:ascii="Cambria" w:hAnsi="Cambria"/>
        </w:rPr>
        <w:t xml:space="preserve"> </w:t>
      </w:r>
      <w:r w:rsidRPr="00D36F3B">
        <w:rPr>
          <w:rStyle w:val="Strong"/>
          <w:rFonts w:ascii="Cambria" w:hAnsi="Cambria"/>
          <w:b w:val="0"/>
        </w:rPr>
        <w:t>2025</w:t>
      </w:r>
      <w:r w:rsidRPr="00D36F3B">
        <w:rPr>
          <w:rFonts w:ascii="Cambria" w:hAnsi="Cambria"/>
        </w:rPr>
        <w:t xml:space="preserve">, with continued growth expected as adoption deepens across industries. </w:t>
      </w:r>
    </w:p>
    <w:p w:rsidR="00B05D82" w:rsidRDefault="00B05D82" w:rsidP="00B05D82">
      <w:pPr>
        <w:pStyle w:val="NormalWeb"/>
        <w:spacing w:before="0" w:beforeAutospacing="0" w:after="0" w:afterAutospacing="0"/>
        <w:rPr>
          <w:rFonts w:ascii="Cambria" w:hAnsi="Cambria"/>
          <w:sz w:val="22"/>
          <w:szCs w:val="22"/>
        </w:rPr>
      </w:pPr>
      <w:r w:rsidRPr="00D36F3B">
        <w:rPr>
          <w:rFonts w:ascii="Cambria" w:hAnsi="Cambria"/>
          <w:sz w:val="22"/>
          <w:szCs w:val="22"/>
        </w:rPr>
        <w:t xml:space="preserve">Parallel to geospatial growth, India’s broader space economy — valued at about </w:t>
      </w:r>
      <w:r w:rsidRPr="00D36F3B">
        <w:rPr>
          <w:rStyle w:val="Strong"/>
          <w:rFonts w:ascii="Cambria" w:hAnsi="Cambria"/>
          <w:b w:val="0"/>
          <w:sz w:val="22"/>
          <w:szCs w:val="22"/>
        </w:rPr>
        <w:t>USD 8.4 billion</w:t>
      </w:r>
      <w:r w:rsidRPr="00D36F3B">
        <w:rPr>
          <w:rFonts w:ascii="Cambria" w:hAnsi="Cambria"/>
          <w:sz w:val="22"/>
          <w:szCs w:val="22"/>
        </w:rPr>
        <w:t xml:space="preserve"> — is undergoing commercialisation with increasing private sector engagement and public–private partnerships, and is projected to reach </w:t>
      </w:r>
      <w:r w:rsidRPr="00D36F3B">
        <w:rPr>
          <w:rStyle w:val="Strong"/>
          <w:rFonts w:ascii="Cambria" w:hAnsi="Cambria"/>
          <w:b w:val="0"/>
          <w:sz w:val="22"/>
          <w:szCs w:val="22"/>
        </w:rPr>
        <w:t>USD 44 billion over</w:t>
      </w:r>
      <w:r w:rsidRPr="00D36F3B">
        <w:rPr>
          <w:rStyle w:val="Strong"/>
          <w:rFonts w:ascii="Cambria" w:hAnsi="Cambria"/>
          <w:sz w:val="22"/>
          <w:szCs w:val="22"/>
        </w:rPr>
        <w:t xml:space="preserve"> </w:t>
      </w:r>
      <w:r w:rsidRPr="00D36F3B">
        <w:rPr>
          <w:rStyle w:val="Strong"/>
          <w:rFonts w:ascii="Cambria" w:hAnsi="Cambria"/>
          <w:b w:val="0"/>
          <w:sz w:val="22"/>
          <w:szCs w:val="22"/>
        </w:rPr>
        <w:t>the next decade</w:t>
      </w:r>
      <w:r w:rsidRPr="00D36F3B">
        <w:rPr>
          <w:rFonts w:ascii="Cambria" w:hAnsi="Cambria"/>
          <w:sz w:val="22"/>
          <w:szCs w:val="22"/>
        </w:rPr>
        <w:t xml:space="preserve">. The </w:t>
      </w:r>
      <w:proofErr w:type="gramStart"/>
      <w:r w:rsidRPr="00D36F3B">
        <w:rPr>
          <w:rFonts w:ascii="Cambria" w:hAnsi="Cambria"/>
          <w:sz w:val="22"/>
          <w:szCs w:val="22"/>
        </w:rPr>
        <w:t>country’s</w:t>
      </w:r>
      <w:proofErr w:type="gramEnd"/>
      <w:r w:rsidRPr="00D36F3B">
        <w:rPr>
          <w:rFonts w:ascii="Cambria" w:hAnsi="Cambria"/>
          <w:sz w:val="22"/>
          <w:szCs w:val="22"/>
        </w:rPr>
        <w:t xml:space="preserve"> launch services and satellite data offerings are gaining global traction: between 2015 and 2024, India conducted </w:t>
      </w:r>
      <w:r w:rsidRPr="00D36F3B">
        <w:rPr>
          <w:rStyle w:val="Strong"/>
          <w:rFonts w:ascii="Cambria" w:hAnsi="Cambria"/>
          <w:b w:val="0"/>
          <w:sz w:val="22"/>
          <w:szCs w:val="22"/>
        </w:rPr>
        <w:t>393 foreign satellite launches for 34 countries</w:t>
      </w:r>
      <w:r w:rsidRPr="00D36F3B">
        <w:rPr>
          <w:rFonts w:ascii="Cambria" w:hAnsi="Cambria"/>
          <w:b/>
          <w:sz w:val="22"/>
          <w:szCs w:val="22"/>
        </w:rPr>
        <w:t>,</w:t>
      </w:r>
      <w:r w:rsidRPr="00D36F3B">
        <w:rPr>
          <w:rFonts w:ascii="Cambria" w:hAnsi="Cambria"/>
          <w:sz w:val="22"/>
          <w:szCs w:val="22"/>
        </w:rPr>
        <w:t xml:space="preserve"> reinforcing its reputation for cost</w:t>
      </w:r>
      <w:r w:rsidRPr="00D36F3B">
        <w:rPr>
          <w:rFonts w:ascii="Cambria" w:hAnsi="Cambria"/>
          <w:sz w:val="22"/>
          <w:szCs w:val="22"/>
        </w:rPr>
        <w:noBreakHyphen/>
        <w:t xml:space="preserve">effective missions. This expanding space ecosystem, supported by agencies such as </w:t>
      </w:r>
      <w:r w:rsidRPr="00D36F3B">
        <w:rPr>
          <w:rStyle w:val="Strong"/>
          <w:rFonts w:ascii="Cambria" w:hAnsi="Cambria"/>
          <w:b w:val="0"/>
          <w:sz w:val="22"/>
          <w:szCs w:val="22"/>
        </w:rPr>
        <w:t>ISRO, NRSC</w:t>
      </w:r>
      <w:r w:rsidRPr="00D36F3B">
        <w:rPr>
          <w:rFonts w:ascii="Cambria" w:hAnsi="Cambria"/>
          <w:sz w:val="22"/>
          <w:szCs w:val="22"/>
        </w:rPr>
        <w:t xml:space="preserve"> and platforms like </w:t>
      </w:r>
      <w:proofErr w:type="spellStart"/>
      <w:r w:rsidRPr="00D36F3B">
        <w:rPr>
          <w:rStyle w:val="Strong"/>
          <w:rFonts w:ascii="Cambria" w:hAnsi="Cambria"/>
          <w:b w:val="0"/>
          <w:sz w:val="22"/>
          <w:szCs w:val="22"/>
        </w:rPr>
        <w:t>Bhuvan</w:t>
      </w:r>
      <w:proofErr w:type="spellEnd"/>
      <w:r w:rsidRPr="00D36F3B">
        <w:rPr>
          <w:rFonts w:ascii="Cambria" w:hAnsi="Cambria"/>
          <w:sz w:val="22"/>
          <w:szCs w:val="22"/>
        </w:rPr>
        <w:t>, is augmenting geospatial capabilities and positioning India as a competitive provider of satellite</w:t>
      </w:r>
      <w:r w:rsidRPr="00D36F3B">
        <w:rPr>
          <w:rFonts w:ascii="Cambria" w:hAnsi="Cambria"/>
          <w:sz w:val="22"/>
          <w:szCs w:val="22"/>
        </w:rPr>
        <w:noBreakHyphen/>
        <w:t>based navigation, Earth observation and connectivity solutions, even as ambitions grow for larger satellite constellations and enhanced launch capacity.</w:t>
      </w:r>
    </w:p>
    <w:p w:rsidR="00B05D82" w:rsidRDefault="00B05D82" w:rsidP="00B05D82">
      <w:pPr>
        <w:pStyle w:val="NormalWeb"/>
        <w:spacing w:before="0" w:beforeAutospacing="0" w:after="0" w:afterAutospacing="0"/>
        <w:rPr>
          <w:rFonts w:ascii="Cambria" w:hAnsi="Cambria"/>
          <w:sz w:val="22"/>
          <w:szCs w:val="22"/>
        </w:rPr>
      </w:pPr>
    </w:p>
    <w:p w:rsidR="00B05D82" w:rsidRPr="00D36F3B" w:rsidRDefault="00B05D82" w:rsidP="00B05D82">
      <w:pPr>
        <w:pStyle w:val="NormalWeb"/>
        <w:spacing w:before="0" w:beforeAutospacing="0" w:after="0" w:afterAutospacing="0"/>
        <w:rPr>
          <w:rFonts w:ascii="Cambria" w:hAnsi="Cambria"/>
          <w:sz w:val="22"/>
          <w:szCs w:val="22"/>
        </w:rPr>
      </w:pPr>
    </w:p>
    <w:p w:rsidR="00B05D82" w:rsidRPr="00D36F3B" w:rsidRDefault="00B05D82" w:rsidP="00B05D82">
      <w:pPr>
        <w:pStyle w:val="Heading3"/>
        <w:spacing w:before="0" w:beforeAutospacing="0" w:after="0" w:afterAutospacing="0"/>
        <w:rPr>
          <w:rStyle w:val="Strong"/>
          <w:rFonts w:ascii="Cambria" w:hAnsi="Cambria"/>
          <w:b/>
          <w:bCs/>
          <w:color w:val="5B9BD5" w:themeColor="accent1"/>
          <w:sz w:val="22"/>
          <w:szCs w:val="22"/>
        </w:rPr>
      </w:pPr>
      <w:r w:rsidRPr="00D36F3B">
        <w:rPr>
          <w:rStyle w:val="Strong"/>
          <w:rFonts w:ascii="Cambria" w:hAnsi="Cambria"/>
          <w:b/>
          <w:bCs/>
          <w:color w:val="5B9BD5" w:themeColor="accent1"/>
          <w:sz w:val="22"/>
          <w:szCs w:val="22"/>
        </w:rPr>
        <w:t>Way Forward</w:t>
      </w:r>
    </w:p>
    <w:p w:rsidR="00B05D82" w:rsidRPr="00D36F3B" w:rsidRDefault="00B05D82" w:rsidP="00B05D82">
      <w:pPr>
        <w:spacing w:after="0" w:line="240" w:lineRule="auto"/>
        <w:rPr>
          <w:rFonts w:ascii="Cambria" w:hAnsi="Cambria"/>
        </w:rPr>
      </w:pPr>
      <w:r w:rsidRPr="00D36F3B">
        <w:rPr>
          <w:rFonts w:ascii="Cambria" w:hAnsi="Cambria"/>
        </w:rPr>
        <w:t xml:space="preserve">India and Europe hold significant potential for strategic partnerships in </w:t>
      </w:r>
      <w:r w:rsidRPr="00D36F3B">
        <w:rPr>
          <w:rStyle w:val="Strong"/>
          <w:rFonts w:ascii="Cambria" w:hAnsi="Cambria"/>
          <w:b w:val="0"/>
        </w:rPr>
        <w:t>space exploration and geospatial technologies</w:t>
      </w:r>
      <w:r w:rsidRPr="00D36F3B">
        <w:rPr>
          <w:rFonts w:ascii="Cambria" w:hAnsi="Cambria"/>
        </w:rPr>
        <w:t xml:space="preserve">. Realizing this potential requires establishing robust collaboration mechanisms, leveraging </w:t>
      </w:r>
      <w:r w:rsidRPr="00D36F3B">
        <w:rPr>
          <w:rStyle w:val="Strong"/>
          <w:rFonts w:ascii="Cambria" w:hAnsi="Cambria"/>
          <w:b w:val="0"/>
        </w:rPr>
        <w:t>trade summits, industry forums, and bilateral dialogues</w:t>
      </w:r>
      <w:r w:rsidRPr="00D36F3B">
        <w:rPr>
          <w:rFonts w:ascii="Cambria" w:hAnsi="Cambria"/>
        </w:rPr>
        <w:t xml:space="preserve"> as key platforms. Joint research initiatives, professional exchange programs, and </w:t>
      </w:r>
      <w:r w:rsidRPr="00D36F3B">
        <w:rPr>
          <w:rStyle w:val="Strong"/>
          <w:rFonts w:ascii="Cambria" w:hAnsi="Cambria"/>
          <w:b w:val="0"/>
        </w:rPr>
        <w:t>streamlined regulatory frameworks</w:t>
      </w:r>
      <w:r w:rsidRPr="00D36F3B">
        <w:rPr>
          <w:rFonts w:ascii="Cambria" w:hAnsi="Cambria"/>
        </w:rPr>
        <w:t xml:space="preserve"> can further strengthen cooperation, fostering innovation and efficiency across sectors.</w:t>
      </w:r>
    </w:p>
    <w:p w:rsidR="00B05D82" w:rsidRPr="00D36F3B" w:rsidRDefault="00B05D82" w:rsidP="00B05D82">
      <w:pPr>
        <w:pStyle w:val="NormalWeb"/>
        <w:spacing w:before="0" w:beforeAutospacing="0" w:after="0" w:afterAutospacing="0"/>
        <w:rPr>
          <w:rFonts w:ascii="Cambria" w:hAnsi="Cambria"/>
          <w:b/>
          <w:sz w:val="22"/>
          <w:szCs w:val="22"/>
        </w:rPr>
      </w:pPr>
      <w:r w:rsidRPr="00D36F3B">
        <w:rPr>
          <w:rFonts w:ascii="Cambria" w:hAnsi="Cambria"/>
          <w:sz w:val="22"/>
          <w:szCs w:val="22"/>
        </w:rPr>
        <w:t xml:space="preserve">Through such collaboration, India and Europe can not only </w:t>
      </w:r>
      <w:r w:rsidRPr="00D36F3B">
        <w:rPr>
          <w:rStyle w:val="Strong"/>
          <w:rFonts w:ascii="Cambria" w:hAnsi="Cambria"/>
          <w:b w:val="0"/>
          <w:sz w:val="22"/>
          <w:szCs w:val="22"/>
        </w:rPr>
        <w:t>accelerate technological advancements</w:t>
      </w:r>
      <w:r w:rsidRPr="00D36F3B">
        <w:rPr>
          <w:rFonts w:ascii="Cambria" w:hAnsi="Cambria"/>
          <w:sz w:val="22"/>
          <w:szCs w:val="22"/>
        </w:rPr>
        <w:t xml:space="preserve"> within their own industries but also</w:t>
      </w:r>
      <w:r w:rsidRPr="00D36F3B">
        <w:rPr>
          <w:rFonts w:ascii="Cambria" w:hAnsi="Cambria"/>
          <w:b/>
          <w:sz w:val="22"/>
          <w:szCs w:val="22"/>
        </w:rPr>
        <w:t xml:space="preserve"> </w:t>
      </w:r>
      <w:r w:rsidRPr="00D36F3B">
        <w:rPr>
          <w:rStyle w:val="Strong"/>
          <w:rFonts w:ascii="Cambria" w:hAnsi="Cambria"/>
          <w:b w:val="0"/>
          <w:sz w:val="22"/>
          <w:szCs w:val="22"/>
        </w:rPr>
        <w:t>shape the global future</w:t>
      </w:r>
      <w:r w:rsidRPr="00D36F3B">
        <w:rPr>
          <w:rFonts w:ascii="Cambria" w:hAnsi="Cambria"/>
          <w:sz w:val="22"/>
          <w:szCs w:val="22"/>
        </w:rPr>
        <w:t xml:space="preserve"> of space and geospatial applications. By harnessing emerging opportunities together, both partners can drive sustainable growth, enhance competitiveness, and chart a path toward </w:t>
      </w:r>
      <w:r w:rsidRPr="00D36F3B">
        <w:rPr>
          <w:rStyle w:val="Strong"/>
          <w:rFonts w:ascii="Cambria" w:hAnsi="Cambria"/>
          <w:b w:val="0"/>
          <w:sz w:val="22"/>
          <w:szCs w:val="22"/>
        </w:rPr>
        <w:t>shared success and long-term prosperity</w:t>
      </w:r>
      <w:r w:rsidRPr="00D36F3B">
        <w:rPr>
          <w:rFonts w:ascii="Cambria" w:hAnsi="Cambria"/>
          <w:b/>
          <w:sz w:val="22"/>
          <w:szCs w:val="22"/>
        </w:rPr>
        <w:t>.</w:t>
      </w:r>
    </w:p>
    <w:p w:rsidR="00B05D82" w:rsidRDefault="00B05D82" w:rsidP="00B05D82">
      <w:pPr>
        <w:spacing w:after="0" w:line="240" w:lineRule="auto"/>
        <w:outlineLvl w:val="2"/>
        <w:rPr>
          <w:rFonts w:ascii="Cambria" w:hAnsi="Cambria"/>
        </w:rPr>
      </w:pPr>
      <w:r w:rsidRPr="00D36F3B">
        <w:rPr>
          <w:rFonts w:ascii="Cambria" w:hAnsi="Cambria"/>
        </w:rPr>
        <w:t xml:space="preserve">In the above backdrop, GWCC proposes to organise the </w:t>
      </w:r>
      <w:r w:rsidRPr="00D36F3B">
        <w:rPr>
          <w:rStyle w:val="Strong"/>
          <w:rFonts w:ascii="Cambria" w:hAnsi="Cambria"/>
          <w:b w:val="0"/>
          <w:u w:val="single"/>
        </w:rPr>
        <w:t>3rd India–Europe Space and Geospatial Business Summit</w:t>
      </w:r>
      <w:r w:rsidRPr="00D36F3B">
        <w:rPr>
          <w:rFonts w:ascii="Cambria" w:hAnsi="Cambria"/>
          <w:b/>
        </w:rPr>
        <w:t xml:space="preserve"> </w:t>
      </w:r>
      <w:r w:rsidRPr="00D36F3B">
        <w:rPr>
          <w:rFonts w:ascii="Cambria" w:hAnsi="Cambria"/>
        </w:rPr>
        <w:t>at the</w:t>
      </w:r>
      <w:r w:rsidRPr="00D36F3B">
        <w:rPr>
          <w:rFonts w:ascii="Cambria" w:hAnsi="Cambria"/>
          <w:b/>
        </w:rPr>
        <w:t xml:space="preserve"> </w:t>
      </w:r>
      <w:r w:rsidRPr="00D36F3B">
        <w:rPr>
          <w:rStyle w:val="Strong"/>
          <w:rFonts w:ascii="Cambria" w:hAnsi="Cambria"/>
          <w:b w:val="0"/>
          <w:u w:val="single"/>
        </w:rPr>
        <w:t>RAI Congress Centre, Amsterdam, The Netherlands</w:t>
      </w:r>
      <w:r w:rsidRPr="00D36F3B">
        <w:rPr>
          <w:rFonts w:ascii="Cambria" w:hAnsi="Cambria"/>
          <w:u w:val="single"/>
        </w:rPr>
        <w:t xml:space="preserve">, on </w:t>
      </w:r>
      <w:r w:rsidRPr="00D36F3B">
        <w:rPr>
          <w:rStyle w:val="Strong"/>
          <w:rFonts w:ascii="Cambria" w:hAnsi="Cambria"/>
          <w:b w:val="0"/>
          <w:u w:val="single"/>
        </w:rPr>
        <w:t>27 April 2026</w:t>
      </w:r>
      <w:r w:rsidRPr="00D36F3B">
        <w:rPr>
          <w:rFonts w:ascii="Cambria" w:hAnsi="Cambria"/>
        </w:rPr>
        <w:t xml:space="preserve">, as a pre-conference to </w:t>
      </w:r>
      <w:r w:rsidRPr="00D36F3B">
        <w:rPr>
          <w:rStyle w:val="Strong"/>
          <w:rFonts w:ascii="Cambria" w:hAnsi="Cambria"/>
          <w:b w:val="0"/>
        </w:rPr>
        <w:t>Geospatial World Forum (GWF) 2026</w:t>
      </w:r>
      <w:r w:rsidRPr="00D36F3B">
        <w:rPr>
          <w:rFonts w:ascii="Cambria" w:hAnsi="Cambria"/>
        </w:rPr>
        <w:t xml:space="preserve">, organised by </w:t>
      </w:r>
      <w:r w:rsidRPr="00D36F3B">
        <w:rPr>
          <w:rStyle w:val="Strong"/>
          <w:rFonts w:ascii="Cambria" w:hAnsi="Cambria"/>
          <w:b w:val="0"/>
        </w:rPr>
        <w:t>Geospatial World</w:t>
      </w:r>
      <w:r w:rsidRPr="00D36F3B">
        <w:rPr>
          <w:rFonts w:ascii="Cambria" w:hAnsi="Cambria"/>
        </w:rPr>
        <w:t xml:space="preserve"> in association with </w:t>
      </w:r>
      <w:r w:rsidRPr="00D36F3B">
        <w:rPr>
          <w:rStyle w:val="Strong"/>
          <w:rFonts w:ascii="Cambria" w:hAnsi="Cambria"/>
          <w:b w:val="0"/>
        </w:rPr>
        <w:t xml:space="preserve">Dutch </w:t>
      </w:r>
      <w:proofErr w:type="spellStart"/>
      <w:r w:rsidRPr="00D36F3B">
        <w:rPr>
          <w:rStyle w:val="Strong"/>
          <w:rFonts w:ascii="Cambria" w:hAnsi="Cambria"/>
          <w:b w:val="0"/>
        </w:rPr>
        <w:t>Kadaster</w:t>
      </w:r>
      <w:proofErr w:type="spellEnd"/>
      <w:r w:rsidRPr="00D36F3B">
        <w:rPr>
          <w:rFonts w:ascii="Cambria" w:hAnsi="Cambria"/>
        </w:rPr>
        <w:t xml:space="preserve">, with strategic support from the </w:t>
      </w:r>
      <w:r w:rsidRPr="00D36F3B">
        <w:rPr>
          <w:rStyle w:val="Strong"/>
          <w:rFonts w:ascii="Cambria" w:hAnsi="Cambria"/>
          <w:b w:val="0"/>
        </w:rPr>
        <w:t>United Nations Geospatial Network (UNGN)</w:t>
      </w:r>
      <w:r w:rsidRPr="00D36F3B">
        <w:rPr>
          <w:rFonts w:ascii="Cambria" w:hAnsi="Cambria"/>
          <w:b/>
        </w:rPr>
        <w:t xml:space="preserve">, </w:t>
      </w:r>
      <w:r w:rsidRPr="00D36F3B">
        <w:rPr>
          <w:rStyle w:val="Strong"/>
          <w:rFonts w:ascii="Cambria" w:hAnsi="Cambria"/>
          <w:b w:val="0"/>
        </w:rPr>
        <w:t>IN-</w:t>
      </w:r>
      <w:proofErr w:type="spellStart"/>
      <w:r w:rsidRPr="00D36F3B">
        <w:rPr>
          <w:rStyle w:val="Strong"/>
          <w:rFonts w:ascii="Cambria" w:hAnsi="Cambria"/>
          <w:b w:val="0"/>
        </w:rPr>
        <w:t>SPACe</w:t>
      </w:r>
      <w:proofErr w:type="spellEnd"/>
      <w:r w:rsidRPr="00D36F3B">
        <w:rPr>
          <w:rStyle w:val="Strong"/>
          <w:rFonts w:ascii="Cambria" w:hAnsi="Cambria"/>
          <w:b w:val="0"/>
        </w:rPr>
        <w:t xml:space="preserve"> (Government of India)</w:t>
      </w:r>
      <w:r w:rsidRPr="00D36F3B">
        <w:rPr>
          <w:rFonts w:ascii="Cambria" w:hAnsi="Cambria"/>
        </w:rPr>
        <w:t xml:space="preserve"> as a Strategic Partner, and key global industry stakeholders.</w:t>
      </w:r>
    </w:p>
    <w:p w:rsidR="00B05D82" w:rsidRDefault="00B05D82" w:rsidP="00B05D82">
      <w:pPr>
        <w:spacing w:after="0" w:line="240" w:lineRule="auto"/>
        <w:outlineLvl w:val="2"/>
        <w:rPr>
          <w:rFonts w:ascii="Cambria" w:hAnsi="Cambria"/>
        </w:rPr>
      </w:pPr>
    </w:p>
    <w:p w:rsidR="00B05D82" w:rsidRPr="00D36F3B" w:rsidRDefault="00B05D82" w:rsidP="00B05D82">
      <w:pPr>
        <w:spacing w:after="0" w:line="240" w:lineRule="auto"/>
        <w:outlineLvl w:val="2"/>
        <w:rPr>
          <w:rFonts w:ascii="Cambria" w:hAnsi="Cambria"/>
        </w:rPr>
      </w:pPr>
    </w:p>
    <w:p w:rsidR="00B05D82" w:rsidRPr="00D36F3B" w:rsidRDefault="00B05D82" w:rsidP="00B05D82">
      <w:pPr>
        <w:pStyle w:val="xmsonormal"/>
        <w:spacing w:before="0" w:beforeAutospacing="0" w:after="0" w:afterAutospacing="0"/>
        <w:rPr>
          <w:rFonts w:ascii="Cambria" w:eastAsia="Cambria" w:hAnsi="Cambria" w:cs="Cambria"/>
          <w:b/>
          <w:bCs/>
          <w:color w:val="5B9BD5" w:themeColor="accent1"/>
          <w:sz w:val="22"/>
          <w:szCs w:val="22"/>
        </w:rPr>
      </w:pPr>
      <w:r w:rsidRPr="00D36F3B">
        <w:rPr>
          <w:rFonts w:ascii="Cambria" w:eastAsia="Cambria" w:hAnsi="Cambria" w:cs="Cambria"/>
          <w:b/>
          <w:bCs/>
          <w:color w:val="5B9BD5" w:themeColor="accent1"/>
          <w:sz w:val="22"/>
          <w:szCs w:val="22"/>
        </w:rPr>
        <w:t>About Geospatial World Chamber of Commerce (GWCC)</w:t>
      </w:r>
    </w:p>
    <w:p w:rsidR="00B05D82" w:rsidRDefault="00B05D82" w:rsidP="00B05D82">
      <w:pPr>
        <w:spacing w:after="0" w:line="240" w:lineRule="auto"/>
        <w:rPr>
          <w:rStyle w:val="Hyperlink"/>
          <w:rFonts w:ascii="Cambria" w:eastAsia="Cambria" w:hAnsi="Cambria" w:cs="Cambria"/>
          <w:color w:val="000000" w:themeColor="text1"/>
        </w:rPr>
      </w:pPr>
      <w:r w:rsidRPr="00D36F3B">
        <w:rPr>
          <w:rFonts w:ascii="Cambria" w:eastAsia="Cambria" w:hAnsi="Cambria" w:cs="Cambria"/>
          <w:color w:val="000000" w:themeColor="text1"/>
          <w:shd w:val="clear" w:color="auto" w:fill="FFFFFF"/>
          <w:lang w:val="en-US"/>
        </w:rPr>
        <w:t xml:space="preserve">Pursuing our vision of advancing trade and commerce in the field of space and geospatial industry and especially to nurture and promote Indian industry growth in international market, </w:t>
      </w:r>
      <w:r w:rsidRPr="00504B40">
        <w:rPr>
          <w:rFonts w:ascii="Cambria" w:eastAsia="Cambria" w:hAnsi="Cambria" w:cs="Cambria"/>
          <w:b/>
          <w:color w:val="000000" w:themeColor="text1"/>
          <w:shd w:val="clear" w:color="auto" w:fill="FFFFFF"/>
          <w:lang w:val="en-US"/>
        </w:rPr>
        <w:t>Geospatial World Chamber of Commerce (GWCC)</w:t>
      </w:r>
      <w:r w:rsidRPr="00D36F3B">
        <w:rPr>
          <w:rFonts w:ascii="Cambria" w:eastAsia="Cambria" w:hAnsi="Cambria" w:cs="Cambria"/>
          <w:color w:val="000000" w:themeColor="text1"/>
          <w:shd w:val="clear" w:color="auto" w:fill="FFFFFF"/>
          <w:lang w:val="en-US"/>
        </w:rPr>
        <w:t xml:space="preserve"> – a trade and commerce organization registered as a not-for-profit company in India</w:t>
      </w:r>
      <w:r w:rsidRPr="00D36F3B">
        <w:rPr>
          <w:rFonts w:ascii="Cambria" w:eastAsia="Cambria" w:hAnsi="Cambria" w:cs="Cambria"/>
          <w:color w:val="000000" w:themeColor="text1"/>
          <w:lang w:val="en-US"/>
        </w:rPr>
        <w:t xml:space="preserve"> </w:t>
      </w:r>
      <w:r w:rsidRPr="00D36F3B">
        <w:rPr>
          <w:rFonts w:ascii="Cambria" w:eastAsia="Cambria" w:hAnsi="Cambria" w:cs="Cambria"/>
          <w:color w:val="000000" w:themeColor="text1"/>
          <w:shd w:val="clear" w:color="auto" w:fill="FFFFFF"/>
          <w:lang w:val="en-US"/>
        </w:rPr>
        <w:t xml:space="preserve">has been established by Geospatial World (GW) to promote trade and commerce globally. </w:t>
      </w:r>
      <w:r w:rsidRPr="00D36F3B">
        <w:rPr>
          <w:rFonts w:ascii="Cambria" w:eastAsia="Cambria" w:hAnsi="Cambria" w:cs="Cambria"/>
          <w:color w:val="000000" w:themeColor="text1"/>
        </w:rPr>
        <w:t xml:space="preserve">GWCC strives to facilitate dialogues on open trade and commerce advocating towards developing level playing fields and ease of doing business practices for commercial companies at global levels with primary partner countries of India in the context of evolving geo-political world order. We are as much committed to nurture and </w:t>
      </w:r>
      <w:r w:rsidRPr="00D36F3B">
        <w:rPr>
          <w:rFonts w:ascii="Cambria" w:eastAsia="Cambria" w:hAnsi="Cambria" w:cs="Cambria"/>
          <w:color w:val="000000" w:themeColor="text1"/>
        </w:rPr>
        <w:lastRenderedPageBreak/>
        <w:t>promote Indian industry growth in international market as we aim to facilitating participation of overseas companies in Indian market and enabling establishment of their businesses and supporting their engagement and partnership with Indian stakeholders. You may find more information at </w:t>
      </w:r>
      <w:hyperlink r:id="rId5" w:history="1">
        <w:r w:rsidRPr="00D36F3B">
          <w:rPr>
            <w:rStyle w:val="Hyperlink"/>
            <w:rFonts w:ascii="Cambria" w:eastAsia="Cambria" w:hAnsi="Cambria" w:cs="Cambria"/>
            <w:color w:val="000000" w:themeColor="text1"/>
          </w:rPr>
          <w:t>www.GWCC.in</w:t>
        </w:r>
      </w:hyperlink>
    </w:p>
    <w:p w:rsidR="00B05D82" w:rsidRPr="00D36F3B" w:rsidRDefault="00B05D82" w:rsidP="00B05D82">
      <w:pPr>
        <w:spacing w:after="0" w:line="240" w:lineRule="auto"/>
        <w:rPr>
          <w:rFonts w:ascii="Cambria" w:eastAsia="Cambria" w:hAnsi="Cambria" w:cs="Cambria"/>
          <w:color w:val="000000" w:themeColor="text1"/>
          <w:shd w:val="clear" w:color="auto" w:fill="FFFFFF"/>
          <w:lang w:val="en-US"/>
        </w:rPr>
      </w:pPr>
    </w:p>
    <w:p w:rsidR="00B05D82" w:rsidRDefault="00B05D82" w:rsidP="00B05D82">
      <w:pPr>
        <w:spacing w:after="0" w:line="240" w:lineRule="auto"/>
        <w:outlineLvl w:val="2"/>
        <w:rPr>
          <w:rFonts w:ascii="Cambria" w:eastAsia="Cambria" w:hAnsi="Cambria" w:cs="Cambria"/>
          <w:b/>
          <w:bCs/>
          <w:color w:val="5B9BD5" w:themeColor="accent1"/>
        </w:rPr>
      </w:pPr>
    </w:p>
    <w:p w:rsidR="00B05D82" w:rsidRPr="00D36F3B" w:rsidRDefault="00B05D82" w:rsidP="00B05D82">
      <w:pPr>
        <w:spacing w:after="0" w:line="240" w:lineRule="auto"/>
        <w:outlineLvl w:val="2"/>
        <w:rPr>
          <w:rFonts w:ascii="Cambria" w:eastAsia="Cambria" w:hAnsi="Cambria" w:cs="Cambria"/>
          <w:b/>
          <w:bCs/>
          <w:color w:val="5B9BD5" w:themeColor="accent1"/>
        </w:rPr>
      </w:pPr>
      <w:r w:rsidRPr="00D36F3B">
        <w:rPr>
          <w:rFonts w:ascii="Cambria" w:eastAsia="Cambria" w:hAnsi="Cambria" w:cs="Cambria"/>
          <w:b/>
          <w:bCs/>
          <w:color w:val="5B9BD5" w:themeColor="accent1"/>
        </w:rPr>
        <w:t xml:space="preserve">About Geospatial World </w:t>
      </w:r>
    </w:p>
    <w:p w:rsidR="00B05D82" w:rsidRPr="00D36F3B" w:rsidRDefault="00B05D82" w:rsidP="00B05D82">
      <w:pPr>
        <w:spacing w:after="0" w:line="240" w:lineRule="auto"/>
        <w:outlineLvl w:val="2"/>
        <w:rPr>
          <w:rFonts w:ascii="Cambria" w:eastAsia="Cambria" w:hAnsi="Cambria" w:cs="Cambria"/>
          <w:b/>
          <w:bCs/>
          <w:color w:val="5B9BD5" w:themeColor="accent1"/>
        </w:rPr>
      </w:pPr>
      <w:r>
        <w:rPr>
          <w:rStyle w:val="normaltextrun"/>
          <w:rFonts w:ascii="Cambria" w:hAnsi="Cambria"/>
          <w:b/>
          <w:bCs/>
          <w:color w:val="262626"/>
          <w:shd w:val="clear" w:color="auto" w:fill="FFFFFF"/>
        </w:rPr>
        <w:t xml:space="preserve">Geospatial World </w:t>
      </w:r>
      <w:r w:rsidRPr="00D36F3B">
        <w:rPr>
          <w:rStyle w:val="normaltextrun"/>
          <w:rFonts w:ascii="Cambria" w:hAnsi="Cambria"/>
          <w:color w:val="262626"/>
          <w:shd w:val="clear" w:color="auto" w:fill="FFFFFF"/>
        </w:rPr>
        <w:t>is a knowledge organisation with a vision of </w:t>
      </w:r>
      <w:r w:rsidRPr="00D36F3B">
        <w:rPr>
          <w:rStyle w:val="normaltextrun"/>
          <w:rFonts w:ascii="Cambria" w:hAnsi="Cambria"/>
          <w:i/>
          <w:iCs/>
          <w:color w:val="262626"/>
          <w:shd w:val="clear" w:color="auto" w:fill="FFFFFF"/>
        </w:rPr>
        <w:t>“Making a Difference through Geospatial Knowledge and Space Infrastructure in World Economy and Society” and </w:t>
      </w:r>
      <w:r w:rsidRPr="00D36F3B">
        <w:rPr>
          <w:rStyle w:val="normaltextrun"/>
          <w:rFonts w:ascii="Cambria" w:hAnsi="Cambria"/>
          <w:color w:val="262626"/>
          <w:shd w:val="clear" w:color="auto" w:fill="FFFFFF"/>
        </w:rPr>
        <w:t>have played a key role in shaping the global geospatial narrative for nearly three decades. With a strong focus on empowering nations through spatial intelligence, it connects policymakers, industry leaders, scientists, and innovators to drive responsible and high-impact use of location data. The organisation has a critical role in mainstreaming geospatial technologies in governance and infrastructure, promoting data democratisation and interoperability, and advocating for inclusive policy frameworks, particularly for the Global South. </w:t>
      </w:r>
      <w:r w:rsidRPr="00D36F3B">
        <w:rPr>
          <w:rStyle w:val="eop"/>
          <w:rFonts w:ascii="Cambria" w:hAnsi="Cambria"/>
          <w:color w:val="262626"/>
          <w:shd w:val="clear" w:color="auto" w:fill="FFFFFF"/>
        </w:rPr>
        <w:t> </w:t>
      </w:r>
    </w:p>
    <w:p w:rsidR="00B05D82" w:rsidRDefault="00B05D82" w:rsidP="00B05D82">
      <w:pPr>
        <w:pStyle w:val="Default"/>
        <w:rPr>
          <w:rFonts w:eastAsia="Cambria"/>
          <w:b/>
          <w:bCs/>
          <w:color w:val="5B9BD5" w:themeColor="accent1"/>
          <w:sz w:val="22"/>
          <w:szCs w:val="22"/>
        </w:rPr>
      </w:pPr>
      <w:r>
        <w:rPr>
          <w:rFonts w:eastAsia="Cambria"/>
          <w:b/>
          <w:bCs/>
          <w:color w:val="5B9BD5" w:themeColor="accent1"/>
          <w:sz w:val="22"/>
          <w:szCs w:val="22"/>
        </w:rPr>
        <w:t xml:space="preserve">                                               </w:t>
      </w:r>
    </w:p>
    <w:p w:rsidR="00B05D82" w:rsidRDefault="00B05D82" w:rsidP="00B05D82">
      <w:pPr>
        <w:pStyle w:val="Default"/>
        <w:rPr>
          <w:rFonts w:eastAsia="Cambria"/>
          <w:b/>
          <w:bCs/>
          <w:color w:val="5B9BD5" w:themeColor="accent1"/>
          <w:sz w:val="22"/>
          <w:szCs w:val="22"/>
        </w:rPr>
      </w:pPr>
      <w:r>
        <w:rPr>
          <w:rFonts w:eastAsia="Cambria"/>
          <w:b/>
          <w:bCs/>
          <w:color w:val="5B9BD5" w:themeColor="accent1"/>
          <w:sz w:val="22"/>
          <w:szCs w:val="22"/>
        </w:rPr>
        <w:t xml:space="preserve"> </w:t>
      </w:r>
    </w:p>
    <w:p w:rsidR="00B05D82" w:rsidRDefault="00B05D82" w:rsidP="00B05D82">
      <w:pPr>
        <w:pStyle w:val="Default"/>
        <w:rPr>
          <w:rFonts w:eastAsia="Cambria"/>
          <w:b/>
          <w:bCs/>
          <w:color w:val="5B9BD5" w:themeColor="accent1"/>
          <w:sz w:val="22"/>
          <w:szCs w:val="22"/>
        </w:rPr>
      </w:pPr>
    </w:p>
    <w:p w:rsidR="00B05D82" w:rsidRDefault="00B05D82" w:rsidP="00B05D82">
      <w:pPr>
        <w:pStyle w:val="Default"/>
        <w:rPr>
          <w:rFonts w:eastAsia="Cambria"/>
          <w:b/>
          <w:bCs/>
          <w:color w:val="5B9BD5" w:themeColor="accent1"/>
          <w:sz w:val="22"/>
          <w:szCs w:val="22"/>
        </w:rPr>
      </w:pPr>
    </w:p>
    <w:p w:rsidR="00B05D82" w:rsidRDefault="00B05D82" w:rsidP="00B05D82">
      <w:pPr>
        <w:pStyle w:val="Default"/>
        <w:rPr>
          <w:rFonts w:eastAsia="Cambria"/>
          <w:b/>
          <w:bCs/>
          <w:color w:val="5B9BD5" w:themeColor="accent1"/>
          <w:sz w:val="22"/>
          <w:szCs w:val="22"/>
        </w:rPr>
      </w:pPr>
    </w:p>
    <w:p w:rsidR="00B05D82" w:rsidRDefault="00B05D82" w:rsidP="00B05D82">
      <w:pPr>
        <w:pStyle w:val="Default"/>
        <w:rPr>
          <w:rFonts w:eastAsia="Cambria"/>
          <w:b/>
          <w:bCs/>
          <w:color w:val="5B9BD5" w:themeColor="accent1"/>
          <w:sz w:val="22"/>
          <w:szCs w:val="22"/>
        </w:rPr>
      </w:pPr>
    </w:p>
    <w:p w:rsidR="00B05D82" w:rsidRDefault="00B05D82" w:rsidP="00B05D82">
      <w:pPr>
        <w:pStyle w:val="Default"/>
        <w:rPr>
          <w:rFonts w:eastAsia="Cambria"/>
          <w:b/>
          <w:bCs/>
          <w:color w:val="5B9BD5" w:themeColor="accent1"/>
          <w:sz w:val="22"/>
          <w:szCs w:val="22"/>
        </w:rPr>
      </w:pPr>
    </w:p>
    <w:p w:rsidR="00B05D82" w:rsidRDefault="00B05D82" w:rsidP="00B05D82">
      <w:pPr>
        <w:pStyle w:val="Default"/>
        <w:rPr>
          <w:rFonts w:eastAsia="Cambria"/>
          <w:b/>
          <w:bCs/>
          <w:color w:val="5B9BD5" w:themeColor="accent1"/>
          <w:sz w:val="22"/>
          <w:szCs w:val="22"/>
        </w:rPr>
      </w:pPr>
    </w:p>
    <w:p w:rsidR="00B05D82" w:rsidRDefault="00B05D82" w:rsidP="00B05D82">
      <w:pPr>
        <w:pStyle w:val="Default"/>
        <w:rPr>
          <w:rFonts w:eastAsia="Cambria"/>
          <w:b/>
          <w:bCs/>
          <w:color w:val="5B9BD5" w:themeColor="accent1"/>
          <w:sz w:val="22"/>
          <w:szCs w:val="22"/>
        </w:rPr>
      </w:pPr>
    </w:p>
    <w:p w:rsidR="00B05D82" w:rsidRDefault="00B05D82" w:rsidP="00B05D82">
      <w:pPr>
        <w:pStyle w:val="Default"/>
        <w:rPr>
          <w:rFonts w:eastAsia="Cambria"/>
          <w:b/>
          <w:bCs/>
          <w:color w:val="5B9BD5" w:themeColor="accent1"/>
          <w:sz w:val="22"/>
          <w:szCs w:val="22"/>
        </w:rPr>
      </w:pPr>
    </w:p>
    <w:p w:rsidR="00B05D82" w:rsidRDefault="00B05D82" w:rsidP="00B05D82">
      <w:pPr>
        <w:pStyle w:val="Default"/>
        <w:rPr>
          <w:rFonts w:eastAsia="Cambria"/>
          <w:b/>
          <w:bCs/>
          <w:color w:val="5B9BD5" w:themeColor="accent1"/>
          <w:sz w:val="22"/>
          <w:szCs w:val="22"/>
        </w:rPr>
      </w:pPr>
    </w:p>
    <w:p w:rsidR="00B05D82" w:rsidRDefault="00B05D82" w:rsidP="00B05D82">
      <w:pPr>
        <w:pStyle w:val="Default"/>
        <w:rPr>
          <w:rFonts w:eastAsia="Cambria"/>
          <w:b/>
          <w:bCs/>
          <w:color w:val="5B9BD5" w:themeColor="accent1"/>
          <w:sz w:val="22"/>
          <w:szCs w:val="22"/>
        </w:rPr>
      </w:pPr>
    </w:p>
    <w:p w:rsidR="00B05D82" w:rsidRDefault="00B05D82" w:rsidP="00B05D82">
      <w:pPr>
        <w:pStyle w:val="Default"/>
        <w:rPr>
          <w:rFonts w:eastAsia="Cambria"/>
          <w:b/>
          <w:bCs/>
          <w:color w:val="5B9BD5" w:themeColor="accent1"/>
          <w:sz w:val="22"/>
          <w:szCs w:val="22"/>
        </w:rPr>
      </w:pPr>
    </w:p>
    <w:p w:rsidR="00B05D82" w:rsidRDefault="00B05D82" w:rsidP="00B05D82">
      <w:pPr>
        <w:pStyle w:val="Default"/>
        <w:rPr>
          <w:rFonts w:eastAsia="Cambria"/>
          <w:b/>
          <w:bCs/>
          <w:color w:val="5B9BD5" w:themeColor="accent1"/>
          <w:sz w:val="22"/>
          <w:szCs w:val="22"/>
        </w:rPr>
      </w:pPr>
    </w:p>
    <w:p w:rsidR="00B05D82" w:rsidRDefault="00B05D82" w:rsidP="00B05D82">
      <w:pPr>
        <w:pStyle w:val="Default"/>
        <w:rPr>
          <w:rFonts w:eastAsia="Cambria"/>
          <w:b/>
          <w:bCs/>
          <w:color w:val="5B9BD5" w:themeColor="accent1"/>
          <w:sz w:val="22"/>
          <w:szCs w:val="22"/>
        </w:rPr>
      </w:pPr>
    </w:p>
    <w:p w:rsidR="00B05D82" w:rsidRDefault="00B05D82" w:rsidP="00B05D82">
      <w:pPr>
        <w:pStyle w:val="Default"/>
        <w:rPr>
          <w:rFonts w:eastAsia="Cambria"/>
          <w:b/>
          <w:bCs/>
          <w:color w:val="5B9BD5" w:themeColor="accent1"/>
          <w:sz w:val="22"/>
          <w:szCs w:val="22"/>
        </w:rPr>
      </w:pPr>
    </w:p>
    <w:p w:rsidR="00B05D82" w:rsidRPr="00DC4F7D" w:rsidRDefault="00B05D82" w:rsidP="00B05D82">
      <w:pPr>
        <w:rPr>
          <w:rFonts w:ascii="Cambria" w:eastAsia="Cambria" w:hAnsi="Cambria" w:cs="Cambria"/>
          <w:b/>
          <w:bCs/>
          <w:color w:val="5B9BD5" w:themeColor="accent1"/>
        </w:rPr>
      </w:pPr>
    </w:p>
    <w:p w:rsidR="00B05D82" w:rsidRDefault="00B05D82" w:rsidP="00B05D82">
      <w:pPr>
        <w:pStyle w:val="Default"/>
        <w:rPr>
          <w:rFonts w:eastAsia="Cambria"/>
          <w:b/>
          <w:bCs/>
          <w:color w:val="5B9BD5" w:themeColor="accent1"/>
          <w:sz w:val="22"/>
          <w:szCs w:val="22"/>
        </w:rPr>
      </w:pPr>
    </w:p>
    <w:p w:rsidR="00B05D82" w:rsidRDefault="00B05D82" w:rsidP="00B05D82">
      <w:pPr>
        <w:pStyle w:val="Default"/>
        <w:rPr>
          <w:rFonts w:eastAsia="Cambria"/>
          <w:b/>
          <w:bCs/>
          <w:color w:val="5B9BD5" w:themeColor="accent1"/>
          <w:sz w:val="22"/>
          <w:szCs w:val="22"/>
        </w:rPr>
      </w:pPr>
    </w:p>
    <w:p w:rsidR="00B05D82" w:rsidRDefault="00B05D82" w:rsidP="00B05D82">
      <w:pPr>
        <w:pStyle w:val="Default"/>
        <w:rPr>
          <w:rFonts w:eastAsia="Cambria"/>
          <w:b/>
          <w:bCs/>
          <w:color w:val="5B9BD5" w:themeColor="accent1"/>
          <w:sz w:val="22"/>
          <w:szCs w:val="22"/>
        </w:rPr>
      </w:pPr>
    </w:p>
    <w:p w:rsidR="00B05D82" w:rsidRDefault="00B05D82" w:rsidP="00B05D82">
      <w:pPr>
        <w:pStyle w:val="Default"/>
        <w:rPr>
          <w:rFonts w:eastAsia="Cambria"/>
          <w:b/>
          <w:bCs/>
          <w:color w:val="5B9BD5" w:themeColor="accent1"/>
          <w:sz w:val="22"/>
          <w:szCs w:val="22"/>
        </w:rPr>
      </w:pPr>
    </w:p>
    <w:p w:rsidR="00B05D82" w:rsidRDefault="00B05D82" w:rsidP="00B05D82">
      <w:pPr>
        <w:pStyle w:val="Default"/>
        <w:rPr>
          <w:rFonts w:eastAsia="Cambria"/>
          <w:b/>
          <w:bCs/>
          <w:color w:val="5B9BD5" w:themeColor="accent1"/>
          <w:sz w:val="22"/>
          <w:szCs w:val="22"/>
        </w:rPr>
      </w:pPr>
    </w:p>
    <w:p w:rsidR="00B05D82" w:rsidRDefault="00B05D82" w:rsidP="00B05D82">
      <w:pPr>
        <w:pStyle w:val="Default"/>
        <w:rPr>
          <w:rFonts w:eastAsia="Cambria"/>
          <w:b/>
          <w:bCs/>
          <w:color w:val="5B9BD5" w:themeColor="accent1"/>
          <w:sz w:val="22"/>
          <w:szCs w:val="22"/>
        </w:rPr>
      </w:pPr>
    </w:p>
    <w:p w:rsidR="00B05D82" w:rsidRDefault="00B05D82" w:rsidP="00B05D82">
      <w:pPr>
        <w:pStyle w:val="Default"/>
        <w:rPr>
          <w:rFonts w:eastAsia="Cambria"/>
          <w:b/>
          <w:bCs/>
          <w:color w:val="5B9BD5" w:themeColor="accent1"/>
          <w:sz w:val="22"/>
          <w:szCs w:val="22"/>
        </w:rPr>
      </w:pPr>
    </w:p>
    <w:p w:rsidR="00B05D82" w:rsidRPr="009C5ED4" w:rsidRDefault="00B05D82" w:rsidP="00B05D82">
      <w:pPr>
        <w:pStyle w:val="Default"/>
        <w:rPr>
          <w:color w:val="001F5F"/>
          <w:sz w:val="22"/>
          <w:szCs w:val="22"/>
        </w:rPr>
      </w:pPr>
      <w:r>
        <w:rPr>
          <w:rFonts w:eastAsia="Cambria"/>
          <w:b/>
          <w:bCs/>
          <w:color w:val="5B9BD5" w:themeColor="accent1"/>
          <w:sz w:val="22"/>
          <w:szCs w:val="22"/>
        </w:rPr>
        <w:t xml:space="preserve">                                                 </w:t>
      </w:r>
      <w:r w:rsidRPr="009C5ED4">
        <w:rPr>
          <w:b/>
          <w:bCs/>
          <w:color w:val="001F5F"/>
          <w:sz w:val="22"/>
          <w:szCs w:val="22"/>
        </w:rPr>
        <w:t>Geospatial World Chamber of Commerce</w:t>
      </w:r>
    </w:p>
    <w:p w:rsidR="00B05D82" w:rsidRPr="009C5ED4" w:rsidRDefault="00B05D82" w:rsidP="00B05D82">
      <w:pPr>
        <w:pStyle w:val="Default"/>
        <w:jc w:val="center"/>
        <w:rPr>
          <w:sz w:val="22"/>
          <w:szCs w:val="22"/>
        </w:rPr>
      </w:pPr>
      <w:r w:rsidRPr="009C5ED4">
        <w:rPr>
          <w:b/>
          <w:bCs/>
          <w:sz w:val="22"/>
          <w:szCs w:val="22"/>
        </w:rPr>
        <w:t>Corporate Office</w:t>
      </w:r>
    </w:p>
    <w:p w:rsidR="00B05D82" w:rsidRPr="009C5ED4" w:rsidRDefault="00B05D82" w:rsidP="00B05D82">
      <w:pPr>
        <w:pStyle w:val="Default"/>
        <w:jc w:val="center"/>
        <w:rPr>
          <w:sz w:val="22"/>
          <w:szCs w:val="22"/>
        </w:rPr>
      </w:pPr>
      <w:r w:rsidRPr="009C5ED4">
        <w:rPr>
          <w:sz w:val="22"/>
          <w:szCs w:val="22"/>
        </w:rPr>
        <w:t>A-145, Sector 63, Noida – 201301 (UP), India</w:t>
      </w:r>
    </w:p>
    <w:p w:rsidR="00B05D82" w:rsidRPr="009C5ED4" w:rsidRDefault="00B05D82" w:rsidP="00B05D82">
      <w:pPr>
        <w:pStyle w:val="Default"/>
        <w:jc w:val="center"/>
        <w:rPr>
          <w:sz w:val="22"/>
          <w:szCs w:val="22"/>
        </w:rPr>
      </w:pPr>
      <w:r w:rsidRPr="009C5ED4">
        <w:rPr>
          <w:b/>
          <w:bCs/>
          <w:sz w:val="22"/>
          <w:szCs w:val="22"/>
        </w:rPr>
        <w:t xml:space="preserve">Tel: </w:t>
      </w:r>
      <w:r w:rsidRPr="009C5ED4">
        <w:rPr>
          <w:sz w:val="22"/>
          <w:szCs w:val="22"/>
        </w:rPr>
        <w:t>+91-120-4612500</w:t>
      </w:r>
    </w:p>
    <w:p w:rsidR="00B05D82" w:rsidRDefault="00B05D82" w:rsidP="00B05D82">
      <w:pPr>
        <w:spacing w:after="0" w:line="240" w:lineRule="auto"/>
        <w:jc w:val="center"/>
        <w:rPr>
          <w:rFonts w:ascii="Cambria" w:hAnsi="Cambria"/>
          <w:color w:val="000000"/>
        </w:rPr>
      </w:pPr>
      <w:r w:rsidRPr="009C5ED4">
        <w:rPr>
          <w:rFonts w:ascii="Cambria" w:hAnsi="Cambria"/>
        </w:rPr>
        <w:t xml:space="preserve">For more information, contact us at – </w:t>
      </w:r>
      <w:r w:rsidRPr="009C5ED4">
        <w:rPr>
          <w:rFonts w:ascii="Cambria" w:hAnsi="Cambria"/>
          <w:color w:val="0462C1"/>
        </w:rPr>
        <w:t xml:space="preserve">info@gwcc.in | </w:t>
      </w:r>
      <w:hyperlink r:id="rId6" w:history="1">
        <w:r w:rsidRPr="007829D7">
          <w:rPr>
            <w:rStyle w:val="Hyperlink"/>
            <w:rFonts w:ascii="Cambria" w:hAnsi="Cambria"/>
          </w:rPr>
          <w:t>www.gwcc.in</w:t>
        </w:r>
      </w:hyperlink>
    </w:p>
    <w:p w:rsidR="00B05D82" w:rsidRDefault="00B05D82" w:rsidP="00B05D82">
      <w:pPr>
        <w:spacing w:after="0" w:line="240" w:lineRule="auto"/>
        <w:jc w:val="center"/>
        <w:rPr>
          <w:rFonts w:ascii="Cambria" w:hAnsi="Cambria"/>
          <w:b/>
          <w:bCs/>
          <w:color w:val="5B9BD5" w:themeColor="accent1"/>
        </w:rPr>
      </w:pPr>
    </w:p>
    <w:p w:rsidR="00B05D82" w:rsidRDefault="00B05D82" w:rsidP="00B05D82">
      <w:pPr>
        <w:rPr>
          <w:rFonts w:ascii="Cambria" w:hAnsi="Cambria"/>
          <w:b/>
          <w:bCs/>
          <w:color w:val="5B9BD5" w:themeColor="accent1"/>
        </w:rPr>
      </w:pPr>
    </w:p>
    <w:p w:rsidR="00B05D82" w:rsidRDefault="00B05D82" w:rsidP="00B05D82">
      <w:pPr>
        <w:spacing w:after="0" w:line="240" w:lineRule="auto"/>
        <w:jc w:val="center"/>
        <w:rPr>
          <w:rFonts w:ascii="Cambria" w:hAnsi="Cambria"/>
          <w:b/>
          <w:bCs/>
          <w:color w:val="5B9BD5" w:themeColor="accent1"/>
        </w:rPr>
      </w:pPr>
    </w:p>
    <w:p w:rsidR="00B05D82" w:rsidRDefault="00B05D82" w:rsidP="00B05D82">
      <w:pPr>
        <w:spacing w:after="0" w:line="240" w:lineRule="auto"/>
        <w:jc w:val="center"/>
        <w:rPr>
          <w:rFonts w:ascii="Cambria" w:hAnsi="Cambria"/>
          <w:b/>
          <w:bCs/>
          <w:color w:val="5B9BD5" w:themeColor="accent1"/>
        </w:rPr>
      </w:pPr>
    </w:p>
    <w:p w:rsidR="00B05D82" w:rsidRDefault="00B05D82" w:rsidP="00B05D82">
      <w:pPr>
        <w:spacing w:after="0" w:line="240" w:lineRule="auto"/>
        <w:jc w:val="center"/>
        <w:rPr>
          <w:rFonts w:ascii="Cambria" w:hAnsi="Cambria"/>
          <w:b/>
          <w:bCs/>
          <w:color w:val="5B9BD5" w:themeColor="accent1"/>
        </w:rPr>
      </w:pPr>
    </w:p>
    <w:p w:rsidR="00B05D82" w:rsidRDefault="00B05D82" w:rsidP="00B05D82">
      <w:pPr>
        <w:spacing w:after="0" w:line="240" w:lineRule="auto"/>
        <w:jc w:val="center"/>
        <w:rPr>
          <w:rFonts w:ascii="Cambria" w:hAnsi="Cambria"/>
          <w:b/>
          <w:bCs/>
          <w:color w:val="5B9BD5" w:themeColor="accent1"/>
        </w:rPr>
      </w:pPr>
    </w:p>
    <w:p w:rsidR="00B05D82" w:rsidRDefault="00B05D82" w:rsidP="00B05D82">
      <w:pPr>
        <w:spacing w:after="0" w:line="240" w:lineRule="auto"/>
        <w:jc w:val="center"/>
        <w:rPr>
          <w:rFonts w:ascii="Cambria" w:hAnsi="Cambria"/>
          <w:b/>
          <w:bCs/>
          <w:color w:val="5B9BD5" w:themeColor="accent1"/>
        </w:rPr>
      </w:pPr>
    </w:p>
    <w:p w:rsidR="00B05D82" w:rsidRDefault="00B05D82" w:rsidP="00B05D82">
      <w:pPr>
        <w:spacing w:after="0" w:line="240" w:lineRule="auto"/>
        <w:jc w:val="center"/>
        <w:rPr>
          <w:rFonts w:ascii="Cambria" w:hAnsi="Cambria"/>
          <w:b/>
          <w:bCs/>
          <w:color w:val="5B9BD5" w:themeColor="accent1"/>
        </w:rPr>
      </w:pPr>
    </w:p>
    <w:p w:rsidR="00B05D82" w:rsidRDefault="00B05D82" w:rsidP="00B05D82">
      <w:pPr>
        <w:spacing w:after="0" w:line="240" w:lineRule="auto"/>
        <w:jc w:val="center"/>
        <w:rPr>
          <w:rFonts w:ascii="Cambria" w:hAnsi="Cambria"/>
          <w:color w:val="000000"/>
        </w:rPr>
      </w:pPr>
      <w:r w:rsidRPr="008C7524">
        <w:rPr>
          <w:rFonts w:ascii="Cambria" w:hAnsi="Cambria"/>
          <w:b/>
          <w:bCs/>
          <w:color w:val="5B9BD5" w:themeColor="accent1"/>
        </w:rPr>
        <w:lastRenderedPageBreak/>
        <w:t>India Europe Space and Geospatial Business Summit at GWF 2026</w:t>
      </w:r>
    </w:p>
    <w:p w:rsidR="00B05D82" w:rsidRPr="00DC4F7D" w:rsidRDefault="00B05D82" w:rsidP="00B05D82">
      <w:pPr>
        <w:spacing w:after="0" w:line="240" w:lineRule="auto"/>
        <w:jc w:val="center"/>
        <w:rPr>
          <w:rFonts w:ascii="Cambria" w:hAnsi="Cambria"/>
          <w:color w:val="000000"/>
        </w:rPr>
      </w:pPr>
    </w:p>
    <w:p w:rsidR="00B05D82" w:rsidRDefault="00B05D82" w:rsidP="00B05D82">
      <w:pPr>
        <w:spacing w:after="0" w:line="240" w:lineRule="auto"/>
        <w:outlineLvl w:val="2"/>
        <w:rPr>
          <w:rFonts w:ascii="Cambria" w:eastAsia="Cambria" w:hAnsi="Cambria" w:cs="Cambria"/>
          <w:b/>
          <w:bCs/>
          <w:color w:val="5B9BD5" w:themeColor="accent1"/>
        </w:rPr>
      </w:pPr>
    </w:p>
    <w:p w:rsidR="00B05D82" w:rsidRDefault="00B05D82" w:rsidP="00B05D82">
      <w:pPr>
        <w:spacing w:after="0" w:line="240" w:lineRule="auto"/>
        <w:rPr>
          <w:rFonts w:ascii="Cambria" w:hAnsi="Cambria"/>
        </w:rPr>
      </w:pPr>
    </w:p>
    <w:p w:rsidR="00B05D82" w:rsidRDefault="00B05D82" w:rsidP="00B05D82">
      <w:pPr>
        <w:spacing w:after="0" w:line="240" w:lineRule="auto"/>
        <w:rPr>
          <w:rFonts w:ascii="Cambria" w:hAnsi="Cambria"/>
          <w:b/>
          <w:color w:val="7030A0"/>
        </w:rPr>
      </w:pPr>
      <w:r w:rsidRPr="00C337DF">
        <w:rPr>
          <w:rFonts w:ascii="Cambria" w:hAnsi="Cambria"/>
          <w:b/>
          <w:color w:val="7030A0"/>
        </w:rPr>
        <w:tab/>
      </w:r>
      <w:r w:rsidR="006676EE">
        <w:rPr>
          <w:rFonts w:ascii="Cambria" w:hAnsi="Cambria"/>
          <w:b/>
          <w:color w:val="7030A0"/>
        </w:rPr>
        <w:t xml:space="preserve">Discussion Points: </w:t>
      </w:r>
      <w:bookmarkStart w:id="0" w:name="_GoBack"/>
      <w:bookmarkEnd w:id="0"/>
    </w:p>
    <w:p w:rsidR="00B05D82" w:rsidRPr="00C337DF" w:rsidRDefault="00B05D82" w:rsidP="00B05D82">
      <w:pPr>
        <w:spacing w:after="0" w:line="240" w:lineRule="auto"/>
        <w:rPr>
          <w:b/>
          <w:color w:val="7030A0"/>
        </w:rPr>
      </w:pPr>
    </w:p>
    <w:p w:rsidR="00B05D82" w:rsidRPr="00171868" w:rsidRDefault="00B05D82" w:rsidP="00B05D82">
      <w:pPr>
        <w:spacing w:after="0" w:line="240" w:lineRule="auto"/>
        <w:rPr>
          <w:rFonts w:ascii="Cambria" w:hAnsi="Cambria"/>
          <w:b/>
          <w:color w:val="5B9BD5" w:themeColor="accent1"/>
        </w:rPr>
      </w:pPr>
    </w:p>
    <w:p w:rsidR="00B05D82" w:rsidRPr="001E126C" w:rsidRDefault="00B05D82" w:rsidP="00B05D82">
      <w:pPr>
        <w:spacing w:after="0" w:line="240" w:lineRule="auto"/>
        <w:rPr>
          <w:rFonts w:ascii="Cambria" w:eastAsia="Cambria" w:hAnsi="Cambria" w:cs="Cambria"/>
          <w:b/>
          <w:color w:val="7B7B7B" w:themeColor="accent3" w:themeShade="BF"/>
        </w:rPr>
      </w:pPr>
      <w:r>
        <w:rPr>
          <w:rFonts w:ascii="Cambria" w:hAnsi="Cambria"/>
          <w:b/>
          <w:color w:val="7B7B7B" w:themeColor="accent3" w:themeShade="BF"/>
        </w:rPr>
        <w:t xml:space="preserve">              </w:t>
      </w:r>
      <w:r w:rsidRPr="00957EDC">
        <w:rPr>
          <w:rFonts w:ascii="Cambria" w:eastAsia="Cambria" w:hAnsi="Cambria" w:cs="Cambria"/>
          <w:b/>
          <w:color w:val="000000" w:themeColor="text1"/>
        </w:rPr>
        <w:t>Opening Session: India Europe Space and Geospatial Market: An Overview</w:t>
      </w:r>
    </w:p>
    <w:p w:rsidR="00B05D82" w:rsidRPr="001E126C" w:rsidRDefault="00B05D82" w:rsidP="00B05D82">
      <w:pPr>
        <w:spacing w:after="0" w:line="240" w:lineRule="auto"/>
        <w:rPr>
          <w:rFonts w:ascii="Cambria" w:hAnsi="Cambria"/>
          <w:b/>
          <w:color w:val="00B0F0"/>
        </w:rPr>
      </w:pPr>
    </w:p>
    <w:p w:rsidR="00B05D82" w:rsidRDefault="00B05D82" w:rsidP="00B05D82">
      <w:pPr>
        <w:spacing w:after="0" w:line="240" w:lineRule="auto"/>
        <w:rPr>
          <w:rFonts w:ascii="Cambria" w:hAnsi="Cambria"/>
          <w:color w:val="000000" w:themeColor="text1"/>
        </w:rPr>
      </w:pPr>
    </w:p>
    <w:p w:rsidR="00B05D82" w:rsidRPr="001E126C" w:rsidRDefault="00B05D82" w:rsidP="00B05D82">
      <w:pPr>
        <w:pStyle w:val="Pa6"/>
        <w:spacing w:line="240" w:lineRule="auto"/>
        <w:ind w:left="1440" w:hanging="1440"/>
        <w:jc w:val="both"/>
        <w:rPr>
          <w:rFonts w:ascii="Cambria" w:hAnsi="Cambria"/>
          <w:b/>
          <w:color w:val="7B7B7B" w:themeColor="accent3" w:themeShade="BF"/>
          <w:sz w:val="22"/>
          <w:szCs w:val="22"/>
        </w:rPr>
      </w:pPr>
      <w:r>
        <w:rPr>
          <w:rFonts w:ascii="Cambria" w:hAnsi="Cambria"/>
          <w:b/>
          <w:color w:val="000000" w:themeColor="text1"/>
          <w:sz w:val="22"/>
          <w:szCs w:val="22"/>
        </w:rPr>
        <w:t xml:space="preserve">         </w:t>
      </w:r>
      <w:r w:rsidRPr="00957EDC">
        <w:rPr>
          <w:rFonts w:ascii="Cambria" w:hAnsi="Cambria"/>
          <w:b/>
          <w:color w:val="000000" w:themeColor="text1"/>
          <w:sz w:val="22"/>
          <w:szCs w:val="22"/>
        </w:rPr>
        <w:t xml:space="preserve">    Collaborative Opportunities for National Mapping</w:t>
      </w:r>
      <w:r w:rsidRPr="001E126C">
        <w:rPr>
          <w:rFonts w:ascii="Cambria" w:hAnsi="Cambria"/>
          <w:b/>
          <w:color w:val="7B7B7B" w:themeColor="accent3" w:themeShade="BF"/>
          <w:sz w:val="22"/>
          <w:szCs w:val="22"/>
        </w:rPr>
        <w:t xml:space="preserve"> </w:t>
      </w:r>
    </w:p>
    <w:p w:rsidR="00B05D82" w:rsidRPr="00E31AC7" w:rsidRDefault="00B05D82" w:rsidP="00B05D82">
      <w:pPr>
        <w:spacing w:after="0" w:line="240" w:lineRule="auto"/>
        <w:rPr>
          <w:rFonts w:ascii="Cambria" w:eastAsia="Cambria" w:hAnsi="Cambria" w:cs="Cambria"/>
          <w:b/>
          <w:color w:val="000000" w:themeColor="text1"/>
        </w:rPr>
      </w:pPr>
    </w:p>
    <w:p w:rsidR="00B05D82" w:rsidRPr="001E126C" w:rsidRDefault="00B05D82" w:rsidP="00B05D82">
      <w:pPr>
        <w:spacing w:after="0" w:line="240" w:lineRule="auto"/>
        <w:jc w:val="both"/>
        <w:rPr>
          <w:rFonts w:ascii="Cambria" w:eastAsia="Cambria" w:hAnsi="Cambria" w:cs="Cambria"/>
          <w:color w:val="C45911" w:themeColor="accent2" w:themeShade="BF"/>
        </w:rPr>
      </w:pPr>
      <w:r w:rsidRPr="00E31AC7">
        <w:rPr>
          <w:rFonts w:ascii="Cambria" w:eastAsia="Cambria" w:hAnsi="Cambria" w:cs="Cambria"/>
          <w:b/>
          <w:color w:val="000000" w:themeColor="text1"/>
        </w:rPr>
        <w:t xml:space="preserve">                           </w:t>
      </w:r>
      <w:r>
        <w:rPr>
          <w:rFonts w:ascii="Cambria" w:eastAsia="Cambria" w:hAnsi="Cambria" w:cs="Cambria"/>
          <w:b/>
          <w:color w:val="000000" w:themeColor="text1"/>
        </w:rPr>
        <w:tab/>
      </w:r>
    </w:p>
    <w:p w:rsidR="00B05D82" w:rsidRDefault="00B05D82" w:rsidP="00B05D82">
      <w:pPr>
        <w:spacing w:after="0" w:line="240" w:lineRule="auto"/>
        <w:rPr>
          <w:rFonts w:ascii="Cambria" w:hAnsi="Cambria"/>
          <w:b/>
          <w:color w:val="00B0F0"/>
        </w:rPr>
      </w:pPr>
    </w:p>
    <w:p w:rsidR="00B05D82" w:rsidRPr="00957EDC" w:rsidRDefault="00B05D82" w:rsidP="00B05D82">
      <w:pPr>
        <w:spacing w:after="0" w:line="240" w:lineRule="auto"/>
        <w:rPr>
          <w:rFonts w:ascii="Cambria" w:hAnsi="Cambria"/>
          <w:b/>
          <w:color w:val="000000" w:themeColor="text1"/>
        </w:rPr>
      </w:pPr>
      <w:r>
        <w:rPr>
          <w:rFonts w:ascii="Cambria" w:hAnsi="Cambria"/>
          <w:b/>
          <w:color w:val="000000" w:themeColor="text1"/>
        </w:rPr>
        <w:t xml:space="preserve">             </w:t>
      </w:r>
      <w:r w:rsidRPr="00957EDC">
        <w:rPr>
          <w:rFonts w:ascii="Cambria" w:hAnsi="Cambria"/>
          <w:b/>
          <w:color w:val="000000" w:themeColor="text1"/>
        </w:rPr>
        <w:t>Geospatial Products, Service and Solutions: Trade &amp; Commerce</w:t>
      </w:r>
    </w:p>
    <w:p w:rsidR="00B05D82" w:rsidRPr="00E31AC7" w:rsidRDefault="00B05D82" w:rsidP="00B05D82">
      <w:pPr>
        <w:spacing w:after="0" w:line="240" w:lineRule="auto"/>
        <w:jc w:val="both"/>
        <w:rPr>
          <w:rFonts w:ascii="Cambria" w:eastAsia="Cambria" w:hAnsi="Cambria" w:cs="Cambria"/>
          <w:b/>
          <w:color w:val="000000" w:themeColor="text1"/>
        </w:rPr>
      </w:pPr>
      <w:r w:rsidRPr="00E31AC7">
        <w:rPr>
          <w:rFonts w:ascii="Cambria" w:eastAsia="Cambria" w:hAnsi="Cambria" w:cs="Cambria"/>
          <w:b/>
          <w:color w:val="000000" w:themeColor="text1"/>
        </w:rPr>
        <w:t xml:space="preserve">                             </w:t>
      </w:r>
    </w:p>
    <w:p w:rsidR="00B05D82" w:rsidRDefault="00B05D82" w:rsidP="00B05D82">
      <w:pPr>
        <w:spacing w:after="0" w:line="240" w:lineRule="auto"/>
        <w:jc w:val="both"/>
        <w:rPr>
          <w:rFonts w:ascii="Cambria" w:eastAsia="Cambria" w:hAnsi="Cambria" w:cs="Cambria"/>
          <w:b/>
          <w:color w:val="000000" w:themeColor="text1"/>
        </w:rPr>
      </w:pPr>
      <w:r>
        <w:rPr>
          <w:rFonts w:ascii="Cambria" w:eastAsia="Cambria" w:hAnsi="Cambria" w:cs="Cambria"/>
          <w:b/>
          <w:color w:val="000000" w:themeColor="text1"/>
        </w:rPr>
        <w:t xml:space="preserve">                       </w:t>
      </w:r>
    </w:p>
    <w:p w:rsidR="00B05D82" w:rsidRDefault="00B05D82" w:rsidP="00B05D82">
      <w:pPr>
        <w:spacing w:after="0" w:line="240" w:lineRule="auto"/>
        <w:jc w:val="both"/>
        <w:rPr>
          <w:rFonts w:ascii="Cambria" w:hAnsi="Cambria"/>
          <w:b/>
          <w:color w:val="7030A0"/>
        </w:rPr>
      </w:pPr>
      <w:r>
        <w:rPr>
          <w:rFonts w:ascii="Cambria" w:eastAsia="Cambria" w:hAnsi="Cambria" w:cs="Cambria"/>
          <w:b/>
          <w:color w:val="000000" w:themeColor="text1"/>
        </w:rPr>
        <w:t xml:space="preserve">             </w:t>
      </w:r>
      <w:r w:rsidRPr="00B05D82">
        <w:rPr>
          <w:rFonts w:ascii="Cambria" w:hAnsi="Cambria"/>
          <w:b/>
          <w:color w:val="5B9BD5" w:themeColor="accent1"/>
        </w:rPr>
        <w:t>Networking Tea/ Coffee</w:t>
      </w:r>
    </w:p>
    <w:p w:rsidR="00B05D82" w:rsidRPr="00B05D82" w:rsidRDefault="00B05D82" w:rsidP="00B05D82">
      <w:pPr>
        <w:spacing w:after="0" w:line="240" w:lineRule="auto"/>
        <w:jc w:val="both"/>
        <w:rPr>
          <w:rFonts w:ascii="Cambria" w:eastAsia="Cambria" w:hAnsi="Cambria" w:cs="Cambria"/>
          <w:b/>
          <w:color w:val="000000" w:themeColor="text1"/>
        </w:rPr>
      </w:pPr>
    </w:p>
    <w:p w:rsidR="00B05D82" w:rsidRDefault="00B05D82" w:rsidP="00B05D82">
      <w:pPr>
        <w:spacing w:after="0" w:line="240" w:lineRule="auto"/>
        <w:ind w:left="1440" w:hanging="1440"/>
        <w:rPr>
          <w:rFonts w:ascii="Cambria" w:hAnsi="Cambria"/>
          <w:b/>
        </w:rPr>
      </w:pPr>
    </w:p>
    <w:p w:rsidR="00B05D82" w:rsidRPr="00957EDC" w:rsidRDefault="00B05D82" w:rsidP="00B05D82">
      <w:pPr>
        <w:spacing w:after="0" w:line="240" w:lineRule="auto"/>
        <w:ind w:left="1440" w:hanging="1440"/>
        <w:rPr>
          <w:rFonts w:ascii="Cambria" w:hAnsi="Cambria"/>
          <w:b/>
        </w:rPr>
      </w:pPr>
      <w:r>
        <w:rPr>
          <w:rFonts w:ascii="Cambria" w:hAnsi="Cambria"/>
          <w:b/>
        </w:rPr>
        <w:t xml:space="preserve">             </w:t>
      </w:r>
      <w:r w:rsidRPr="00957EDC">
        <w:rPr>
          <w:rFonts w:ascii="Cambria" w:hAnsi="Cambria"/>
          <w:b/>
        </w:rPr>
        <w:t>Space Infrastructure and Downstream Applications</w:t>
      </w:r>
    </w:p>
    <w:p w:rsidR="00B05D82" w:rsidRPr="00E31AC7" w:rsidRDefault="00B05D82" w:rsidP="00B05D82">
      <w:pPr>
        <w:spacing w:after="0" w:line="240" w:lineRule="auto"/>
        <w:jc w:val="both"/>
        <w:rPr>
          <w:rFonts w:ascii="Cambria" w:hAnsi="Cambria"/>
          <w:color w:val="000000" w:themeColor="text1"/>
        </w:rPr>
      </w:pPr>
      <w:r w:rsidRPr="00E31AC7">
        <w:rPr>
          <w:rFonts w:ascii="Cambria" w:eastAsia="Cambria" w:hAnsi="Cambria" w:cs="Cambria"/>
          <w:b/>
          <w:color w:val="000000" w:themeColor="text1"/>
        </w:rPr>
        <w:t xml:space="preserve">                             </w:t>
      </w:r>
    </w:p>
    <w:p w:rsidR="00B05D82" w:rsidRPr="00E31AC7" w:rsidRDefault="00B05D82" w:rsidP="00B05D82">
      <w:pPr>
        <w:spacing w:after="0" w:line="240" w:lineRule="auto"/>
        <w:rPr>
          <w:rFonts w:ascii="Cambria" w:eastAsia="Cambria" w:hAnsi="Cambria" w:cs="Cambria"/>
          <w:b/>
          <w:color w:val="000000" w:themeColor="text1"/>
        </w:rPr>
      </w:pPr>
    </w:p>
    <w:p w:rsidR="00B05D82" w:rsidRPr="00E31AC7" w:rsidRDefault="00B05D82" w:rsidP="00B05D82">
      <w:pPr>
        <w:spacing w:after="0" w:line="240" w:lineRule="auto"/>
        <w:rPr>
          <w:rFonts w:ascii="Cambria" w:hAnsi="Cambria"/>
          <w:color w:val="000000" w:themeColor="text1"/>
        </w:rPr>
      </w:pPr>
    </w:p>
    <w:p w:rsidR="00B05D82" w:rsidRDefault="00B05D82" w:rsidP="00B05D82">
      <w:pPr>
        <w:autoSpaceDE w:val="0"/>
        <w:autoSpaceDN w:val="0"/>
        <w:adjustRightInd w:val="0"/>
        <w:spacing w:after="0" w:line="240" w:lineRule="auto"/>
        <w:rPr>
          <w:rFonts w:ascii="Cambria" w:hAnsi="Cambria"/>
          <w:b/>
        </w:rPr>
      </w:pPr>
      <w:r>
        <w:rPr>
          <w:rFonts w:ascii="Cambria" w:hAnsi="Cambria"/>
          <w:b/>
        </w:rPr>
        <w:t xml:space="preserve">             </w:t>
      </w:r>
      <w:r w:rsidRPr="00957EDC">
        <w:rPr>
          <w:rFonts w:ascii="Cambria" w:hAnsi="Cambria"/>
          <w:b/>
        </w:rPr>
        <w:t>BIM and Digital Twins for Public Infrastructure and National Planning</w:t>
      </w:r>
    </w:p>
    <w:p w:rsidR="00B05D82" w:rsidRPr="00957EDC" w:rsidRDefault="00B05D82" w:rsidP="00B05D82">
      <w:pPr>
        <w:autoSpaceDE w:val="0"/>
        <w:autoSpaceDN w:val="0"/>
        <w:adjustRightInd w:val="0"/>
        <w:spacing w:after="0" w:line="240" w:lineRule="auto"/>
        <w:rPr>
          <w:rFonts w:ascii="Cambria" w:hAnsi="Cambria" w:cs="Oscine XBold"/>
          <w:b/>
          <w:bCs/>
        </w:rPr>
      </w:pPr>
      <w:r>
        <w:rPr>
          <w:rFonts w:ascii="Cambria" w:hAnsi="Cambria"/>
          <w:b/>
        </w:rPr>
        <w:tab/>
      </w:r>
      <w:r>
        <w:rPr>
          <w:rFonts w:ascii="Cambria" w:hAnsi="Cambria"/>
          <w:b/>
        </w:rPr>
        <w:tab/>
      </w:r>
    </w:p>
    <w:p w:rsidR="00B05D82" w:rsidRDefault="00B05D82" w:rsidP="00B05D82">
      <w:pPr>
        <w:spacing w:after="0" w:line="240" w:lineRule="auto"/>
        <w:jc w:val="both"/>
        <w:rPr>
          <w:rFonts w:ascii="Cambria" w:eastAsia="Cambria" w:hAnsi="Cambria" w:cs="Cambria"/>
          <w:color w:val="C45911" w:themeColor="accent2" w:themeShade="BF"/>
        </w:rPr>
      </w:pPr>
      <w:r>
        <w:rPr>
          <w:rFonts w:ascii="Cambria" w:hAnsi="Cambria"/>
          <w:b/>
        </w:rPr>
        <w:t xml:space="preserve">                              </w:t>
      </w:r>
    </w:p>
    <w:p w:rsidR="00B05D82" w:rsidRDefault="00B05D82" w:rsidP="00B05D82">
      <w:pPr>
        <w:spacing w:after="0" w:line="240" w:lineRule="auto"/>
        <w:jc w:val="both"/>
        <w:rPr>
          <w:rFonts w:ascii="Cambria" w:eastAsia="Cambria" w:hAnsi="Cambria" w:cs="Cambria"/>
          <w:color w:val="C45911" w:themeColor="accent2" w:themeShade="BF"/>
        </w:rPr>
      </w:pPr>
    </w:p>
    <w:p w:rsidR="00B05D82" w:rsidRPr="00957EDC" w:rsidRDefault="00B05D82" w:rsidP="00B05D82">
      <w:pPr>
        <w:autoSpaceDE w:val="0"/>
        <w:autoSpaceDN w:val="0"/>
        <w:adjustRightInd w:val="0"/>
        <w:spacing w:after="0" w:line="240" w:lineRule="auto"/>
        <w:rPr>
          <w:rFonts w:ascii="Cambria" w:hAnsi="Cambria" w:cs="Oscine XBold"/>
          <w:b/>
          <w:bCs/>
        </w:rPr>
      </w:pPr>
      <w:r>
        <w:rPr>
          <w:rFonts w:ascii="Cambria" w:eastAsia="Cambria" w:hAnsi="Cambria" w:cs="Cambria"/>
          <w:color w:val="000000" w:themeColor="text1"/>
        </w:rPr>
        <w:t xml:space="preserve">            </w:t>
      </w:r>
      <w:r w:rsidRPr="00957EDC">
        <w:rPr>
          <w:rFonts w:ascii="Cambria" w:hAnsi="Cambria"/>
          <w:b/>
        </w:rPr>
        <w:t xml:space="preserve">Concluding Remarks and Way Forward </w:t>
      </w:r>
    </w:p>
    <w:p w:rsidR="00B05D82" w:rsidRDefault="00B05D82" w:rsidP="00B05D82">
      <w:pPr>
        <w:spacing w:after="0" w:line="240" w:lineRule="auto"/>
        <w:rPr>
          <w:rFonts w:ascii="Cambria" w:hAnsi="Cambria"/>
          <w:b/>
          <w:color w:val="7B7B7B" w:themeColor="accent3" w:themeShade="BF"/>
        </w:rPr>
      </w:pPr>
    </w:p>
    <w:p w:rsidR="00B05D82" w:rsidRPr="00473A9C" w:rsidRDefault="00B05D82" w:rsidP="00B05D82">
      <w:pPr>
        <w:spacing w:after="0" w:line="240" w:lineRule="auto"/>
        <w:rPr>
          <w:rFonts w:ascii="Cambria" w:hAnsi="Cambria"/>
          <w:b/>
          <w:color w:val="7B7B7B" w:themeColor="accent3" w:themeShade="BF"/>
        </w:rPr>
      </w:pPr>
      <w:r>
        <w:rPr>
          <w:rFonts w:ascii="Cambria" w:hAnsi="Cambria"/>
          <w:b/>
          <w:color w:val="7B7B7B" w:themeColor="accent3" w:themeShade="BF"/>
        </w:rPr>
        <w:t xml:space="preserve">   </w:t>
      </w:r>
    </w:p>
    <w:p w:rsidR="00B05D82" w:rsidRPr="001E126C" w:rsidRDefault="00B05D82" w:rsidP="00B05D82">
      <w:pPr>
        <w:spacing w:after="0" w:line="240" w:lineRule="auto"/>
        <w:rPr>
          <w:rFonts w:ascii="Cambria" w:hAnsi="Cambria"/>
          <w:b/>
          <w:color w:val="00B0F0"/>
        </w:rPr>
      </w:pPr>
      <w:r>
        <w:rPr>
          <w:rFonts w:ascii="Cambria" w:hAnsi="Cambria"/>
          <w:b/>
          <w:color w:val="00B0F0"/>
        </w:rPr>
        <w:t xml:space="preserve">            </w:t>
      </w:r>
      <w:r w:rsidRPr="001E126C">
        <w:rPr>
          <w:rFonts w:ascii="Cambria" w:hAnsi="Cambria"/>
          <w:b/>
          <w:color w:val="00B0F0"/>
        </w:rPr>
        <w:t>Networking Reception</w:t>
      </w:r>
    </w:p>
    <w:p w:rsidR="00B05D82" w:rsidRPr="00E31AC7" w:rsidRDefault="00B05D82" w:rsidP="00B05D82">
      <w:pPr>
        <w:spacing w:after="0" w:line="240" w:lineRule="auto"/>
        <w:rPr>
          <w:rFonts w:ascii="Cambria" w:hAnsi="Cambria"/>
          <w:color w:val="000000" w:themeColor="text1"/>
        </w:rPr>
      </w:pPr>
    </w:p>
    <w:p w:rsidR="00B05D82" w:rsidRDefault="00B05D82" w:rsidP="00B05D82"/>
    <w:p w:rsidR="00361E48" w:rsidRDefault="006676EE"/>
    <w:sectPr w:rsidR="00361E48">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Oscine X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049313"/>
      <w:docPartObj>
        <w:docPartGallery w:val="Page Numbers (Bottom of Page)"/>
        <w:docPartUnique/>
      </w:docPartObj>
    </w:sdtPr>
    <w:sdtEndPr>
      <w:rPr>
        <w:noProof/>
      </w:rPr>
    </w:sdtEndPr>
    <w:sdtContent>
      <w:p w:rsidR="00F61013" w:rsidRDefault="006676EE" w:rsidP="00F61013">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F61013" w:rsidRDefault="006676E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D82"/>
    <w:rsid w:val="006676EE"/>
    <w:rsid w:val="009A3ECC"/>
    <w:rsid w:val="00AA1E0A"/>
    <w:rsid w:val="00B05D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79D13-E1D1-415A-9B15-AECFDFF91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D82"/>
  </w:style>
  <w:style w:type="paragraph" w:styleId="Heading3">
    <w:name w:val="heading 3"/>
    <w:basedOn w:val="Normal"/>
    <w:link w:val="Heading3Char"/>
    <w:uiPriority w:val="9"/>
    <w:qFormat/>
    <w:rsid w:val="00B05D82"/>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5D82"/>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B05D82"/>
    <w:rPr>
      <w:b/>
      <w:bCs/>
    </w:rPr>
  </w:style>
  <w:style w:type="paragraph" w:styleId="NormalWeb">
    <w:name w:val="Normal (Web)"/>
    <w:basedOn w:val="Normal"/>
    <w:uiPriority w:val="99"/>
    <w:unhideWhenUsed/>
    <w:rsid w:val="00B05D8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ormaltextrun">
    <w:name w:val="normaltextrun"/>
    <w:basedOn w:val="DefaultParagraphFont"/>
    <w:rsid w:val="00B05D82"/>
  </w:style>
  <w:style w:type="character" w:customStyle="1" w:styleId="eop">
    <w:name w:val="eop"/>
    <w:basedOn w:val="DefaultParagraphFont"/>
    <w:rsid w:val="00B05D82"/>
  </w:style>
  <w:style w:type="paragraph" w:customStyle="1" w:styleId="paragraph">
    <w:name w:val="paragraph"/>
    <w:basedOn w:val="Normal"/>
    <w:rsid w:val="00B05D8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B05D82"/>
    <w:pPr>
      <w:autoSpaceDE w:val="0"/>
      <w:autoSpaceDN w:val="0"/>
      <w:adjustRightInd w:val="0"/>
      <w:spacing w:after="0" w:line="240" w:lineRule="auto"/>
    </w:pPr>
    <w:rPr>
      <w:rFonts w:ascii="Cambria" w:hAnsi="Cambria" w:cs="Cambria"/>
      <w:color w:val="000000"/>
      <w:sz w:val="24"/>
      <w:szCs w:val="24"/>
    </w:rPr>
  </w:style>
  <w:style w:type="paragraph" w:customStyle="1" w:styleId="xmsonormal">
    <w:name w:val="x_msonormal"/>
    <w:basedOn w:val="Normal"/>
    <w:rsid w:val="00B05D82"/>
    <w:pPr>
      <w:spacing w:before="100" w:beforeAutospacing="1" w:after="100" w:afterAutospacing="1" w:line="240" w:lineRule="auto"/>
    </w:pPr>
    <w:rPr>
      <w:rFonts w:ascii="Aptos" w:hAnsi="Aptos" w:cs="Calibri"/>
      <w:sz w:val="24"/>
      <w:szCs w:val="24"/>
      <w:lang w:eastAsia="en-IN"/>
    </w:rPr>
  </w:style>
  <w:style w:type="character" w:styleId="Hyperlink">
    <w:name w:val="Hyperlink"/>
    <w:basedOn w:val="DefaultParagraphFont"/>
    <w:uiPriority w:val="99"/>
    <w:unhideWhenUsed/>
    <w:rsid w:val="00B05D82"/>
    <w:rPr>
      <w:color w:val="0563C1"/>
      <w:u w:val="single"/>
    </w:rPr>
  </w:style>
  <w:style w:type="paragraph" w:customStyle="1" w:styleId="Pa6">
    <w:name w:val="Pa6"/>
    <w:basedOn w:val="Default"/>
    <w:next w:val="Default"/>
    <w:uiPriority w:val="99"/>
    <w:rsid w:val="00B05D82"/>
    <w:pPr>
      <w:spacing w:line="241" w:lineRule="atLeast"/>
    </w:pPr>
    <w:rPr>
      <w:rFonts w:ascii="Oscine XBold" w:hAnsi="Oscine XBold" w:cstheme="minorBidi"/>
      <w:color w:val="auto"/>
    </w:rPr>
  </w:style>
  <w:style w:type="paragraph" w:styleId="Footer">
    <w:name w:val="footer"/>
    <w:basedOn w:val="Normal"/>
    <w:link w:val="FooterChar"/>
    <w:uiPriority w:val="99"/>
    <w:unhideWhenUsed/>
    <w:rsid w:val="00B05D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wcc.in" TargetMode="External"/><Relationship Id="rId5" Type="http://schemas.openxmlformats.org/officeDocument/2006/relationships/hyperlink" Target="http://www.gwcc.in/"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2085</Words>
  <Characters>11885</Characters>
  <Application>Microsoft Office Word</Application>
  <DocSecurity>0</DocSecurity>
  <Lines>99</Lines>
  <Paragraphs>27</Paragraphs>
  <ScaleCrop>false</ScaleCrop>
  <Company/>
  <LinksUpToDate>false</LinksUpToDate>
  <CharactersWithSpaces>13943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 Mewara</dc:creator>
  <cp:keywords/>
  <dc:description/>
  <cp:lastModifiedBy>Khushi Mewara</cp:lastModifiedBy>
  <cp:revision>2</cp:revision>
  <dcterms:created xsi:type="dcterms:W3CDTF">2026-03-02T06:23:00Z</dcterms:created>
  <dcterms:modified xsi:type="dcterms:W3CDTF">2026-03-02T06:29:00Z</dcterms:modified>
</cp:coreProperties>
</file>